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6.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numPr>
          <w:ilvl w:val="0"/>
          <w:numId w:val="0"/>
        </w:numPr>
        <w:spacing w:before="240" w:after="0"/>
        <w:ind w:hanging="0" w:start="0"/>
        <w:rPr/>
      </w:pPr>
      <w:r>
        <w:rPr/>
        <w:t>September 29, 2000</w:t>
      </w:r>
    </w:p>
    <w:p>
      <w:pPr>
        <w:pStyle w:val="Normal"/>
        <w:spacing w:before="240" w:after="0"/>
        <w:rPr/>
      </w:pPr>
      <w:r>
        <w:rPr/>
        <w:t>Mr. Mike Fowler</w:t>
        <w:br/>
        <w:t>Enron Corporation</w:t>
        <w:br/>
        <w:t>1400 Smith Street</w:t>
        <w:br/>
        <w:t>Houston, TX 77002</w:t>
      </w:r>
    </w:p>
    <w:p>
      <w:pPr>
        <w:pStyle w:val="Normal"/>
        <w:spacing w:before="240" w:after="0"/>
        <w:rPr/>
      </w:pPr>
      <w:r>
        <w:rPr/>
        <w:t xml:space="preserve">Re:  </w:t>
      </w:r>
      <w:r>
        <w:rPr>
          <w:u w:val="single"/>
        </w:rPr>
        <w:t>Access Agreement with Trading Edge</w:t>
      </w:r>
    </w:p>
    <w:p>
      <w:pPr>
        <w:pStyle w:val="Normal"/>
        <w:spacing w:before="240" w:after="0"/>
        <w:rPr/>
      </w:pPr>
      <w:r>
        <w:rPr/>
        <w:t>Dear Mr. Fowler:</w:t>
      </w:r>
    </w:p>
    <w:p>
      <w:pPr>
        <w:pStyle w:val="Normal"/>
        <w:spacing w:before="240" w:after="0"/>
        <w:rPr/>
      </w:pPr>
      <w:r>
        <w:rPr/>
        <w:t xml:space="preserve">Thank you for the comments on our form of Access Agreement.  Trading Edge’s responses to several of them are set out below in the order that they occur in your Addendum.  </w:t>
      </w:r>
    </w:p>
    <w:p>
      <w:pPr>
        <w:pStyle w:val="Normal"/>
        <w:spacing w:before="240" w:after="0"/>
        <w:rPr/>
      </w:pPr>
      <w:r>
        <w:rPr/>
        <w:t>On the assumption that you wish our agreements set out below to be a binding amendment of the Access Agreement, we have set this letter up for counter-signature by you and included a copy of this letter to be signed by you and returned to me for acceptance at the above address.</w:t>
      </w:r>
    </w:p>
    <w:p>
      <w:pPr>
        <w:pStyle w:val="Heading1"/>
        <w:numPr>
          <w:ilvl w:val="0"/>
          <w:numId w:val="0"/>
        </w:numPr>
        <w:spacing w:before="240" w:after="0"/>
        <w:ind w:hanging="0" w:start="0"/>
        <w:rPr>
          <w:u w:val="single"/>
        </w:rPr>
      </w:pPr>
      <w:r>
        <w:rPr>
          <w:u w:val="single"/>
        </w:rPr>
        <w:t>Access</w:t>
      </w:r>
    </w:p>
    <w:p>
      <w:pPr>
        <w:pStyle w:val="Normal"/>
        <w:spacing w:before="240" w:after="0"/>
        <w:rPr/>
      </w:pPr>
      <w:r>
        <w:rPr/>
        <w:t xml:space="preserve">The agreement is titled, and substantively covers, “access” to the </w:t>
      </w:r>
      <w:r>
        <w:rPr>
          <w:b/>
        </w:rPr>
        <w:t>Bond</w:t>
      </w:r>
      <w:r>
        <w:rPr>
          <w:b/>
          <w:i/>
        </w:rPr>
        <w:t>Link</w:t>
      </w:r>
      <w:r>
        <w:rPr>
          <w:i/>
        </w:rPr>
        <w:t>™</w:t>
      </w:r>
      <w:r>
        <w:rPr>
          <w:iCs/>
        </w:rPr>
        <w:t xml:space="preserve"> service and system.  It addresses under what circumstances Trading Edge is prepared to permit users to login to trade, how the system operates and what information will be provided but not the terms of specific trades that occur by means of the service.  In essence, it covers the availability of a tool useful for trading and establishes some of the framework within which to agree trades, but tries not to address the trading itself.  </w:t>
      </w:r>
    </w:p>
    <w:p>
      <w:pPr>
        <w:pStyle w:val="Normal"/>
        <w:spacing w:before="240" w:after="0"/>
        <w:rPr/>
      </w:pPr>
      <w:r>
        <w:rPr>
          <w:iCs/>
        </w:rPr>
        <w:t xml:space="preserve">In addition, there are currently no charges for such access, only so-called “commission equivalents” that are disclosed and agreed separately as part of the order entry and trading process.  </w:t>
      </w:r>
    </w:p>
    <w:p>
      <w:pPr>
        <w:pStyle w:val="Heading1"/>
        <w:numPr>
          <w:ilvl w:val="0"/>
          <w:numId w:val="0"/>
        </w:numPr>
        <w:spacing w:before="240" w:after="0"/>
        <w:ind w:hanging="0" w:start="0"/>
        <w:rPr>
          <w:u w:val="single"/>
        </w:rPr>
      </w:pPr>
      <w:r>
        <w:rPr>
          <w:u w:val="single"/>
        </w:rPr>
        <w:t>Indemnity</w:t>
      </w:r>
    </w:p>
    <w:p>
      <w:pPr>
        <w:pStyle w:val="Normal"/>
        <w:spacing w:before="240" w:after="0"/>
        <w:rPr/>
      </w:pPr>
      <w:r>
        <w:rPr/>
        <w:t>With respect to exceptions 3 and 4 in the second paragraph of Section 10, we provide an application that resides on workstations of yours but uses your networks and other systems to reach the internet as available to you.  Those workstations and other facilities are all used by your personnel for many, many other purposes.  In short, we do not supply stand-alone, dedicated equipment or software.  As a result, we do not control and presume that you do not wish us to control what those facilities, purposes or uses are, so we have excluded responsibility for infringements that may arise from combining them with what we supply.  To the extent that what we supply is the cause of the problem, our indemnity and our options beyond indemnity are covered in the first and last paragraph of this Section.  In the remainder of the cases, we expect rational compromise, but believe it is appropriate to require in the first instance that you, for example, substitute non-infringing components that eliminate problems with the combination if their cost is reasonable.</w:t>
      </w:r>
    </w:p>
    <w:p>
      <w:pPr>
        <w:pStyle w:val="Heading1"/>
        <w:numPr>
          <w:ilvl w:val="0"/>
          <w:numId w:val="0"/>
        </w:numPr>
        <w:spacing w:before="240" w:after="0"/>
        <w:ind w:hanging="0" w:start="0"/>
        <w:rPr>
          <w:u w:val="single"/>
        </w:rPr>
      </w:pPr>
      <w:r>
        <w:rPr>
          <w:u w:val="single"/>
        </w:rPr>
        <w:t>Limitations of Liability</w:t>
      </w:r>
    </w:p>
    <w:p>
      <w:pPr>
        <w:pStyle w:val="Normal"/>
        <w:spacing w:before="240" w:after="0"/>
        <w:rPr/>
      </w:pPr>
      <w:r>
        <w:rPr/>
        <w:t xml:space="preserve">Section 11 of the Access Agreement contains a warranty that protects you against mishandled orders and non-conformity of the system to its documentation.  With the exception of those warranties, Trading Edge believes that warranty claims (and other liability) are not appropriate, even if due to the negligence of Trading Edge staff.  That position reflects the pragmatic fact that Trading Edge is not compensated for providing the system, only by low commissions equivalents when there are trades.  Liability of any kind adds costs - if nothing else, for insurance to cover possible losses - and increases such execution costs to you.  That insurance is expensive.  </w:t>
      </w:r>
    </w:p>
    <w:p>
      <w:pPr>
        <w:pStyle w:val="Normal"/>
        <w:spacing w:before="240" w:after="0"/>
        <w:rPr/>
      </w:pPr>
      <w:r>
        <w:rPr/>
        <w:t xml:space="preserve">Against that factual underpinning, consider the fact that computer trading systems that work generally reduce the risks of errors currently borne by market participants using customary methods.  In short, we should save you some money currently lost through errors.  Trading Edge believes that it lowers the risks of error (negligence) that you already carry and that the scenario should be “Try us, stop if you don’t like us, but if you do, please don’t think in terms of liability for service or access issues.”  </w:t>
      </w:r>
    </w:p>
    <w:p>
      <w:pPr>
        <w:pStyle w:val="Normal"/>
        <w:spacing w:before="240" w:after="0"/>
        <w:rPr>
          <w:caps/>
        </w:rPr>
      </w:pPr>
      <w:r>
        <w:rPr>
          <w:caps/>
        </w:rPr>
        <w:t xml:space="preserve">notwithstanding anything contained herein or the Agreement to the contrary, neither of us shall be required to pay or be liable for special, punitive, exemplary, incidental, consequential or indirect damages (whether or not arising from our negligence) to any other party, except that you will be liable for all costs, expenses, and damages of every kind arising from (1) trading by or for you and (2) your failure or refusal to settle on terms entered or approved by you.  </w:t>
      </w:r>
    </w:p>
    <w:p>
      <w:pPr>
        <w:pStyle w:val="Heading1"/>
        <w:numPr>
          <w:ilvl w:val="0"/>
          <w:numId w:val="0"/>
        </w:numPr>
        <w:spacing w:before="240" w:after="0"/>
        <w:ind w:hanging="0" w:start="0"/>
        <w:rPr>
          <w:u w:val="single"/>
        </w:rPr>
      </w:pPr>
      <w:r>
        <w:rPr>
          <w:u w:val="single"/>
        </w:rPr>
        <w:t>Exceptions to Non-Disclosure</w:t>
      </w:r>
    </w:p>
    <w:p>
      <w:pPr>
        <w:pStyle w:val="BodyText"/>
        <w:spacing w:before="240" w:after="0"/>
        <w:rPr/>
      </w:pPr>
      <w:r>
        <w:rPr/>
        <w:t xml:space="preserve">For purposes of Section 15, Information shall not include: information which was or becomes public other than by breach of this Agreement; can be demonstrated to have been known to you at the time of disclosure free from limitations on further disclosure; is subsequently learned from a third party not subject to a duty of confidentiality with respect to the Information disclosed; or is independently developed by you without reference to the Information.”  </w:t>
      </w:r>
    </w:p>
    <w:p>
      <w:pPr>
        <w:pStyle w:val="Heading1"/>
        <w:numPr>
          <w:ilvl w:val="0"/>
          <w:numId w:val="0"/>
        </w:numPr>
        <w:spacing w:before="240" w:after="0"/>
        <w:ind w:hanging="0" w:start="0"/>
        <w:rPr>
          <w:u w:val="single"/>
        </w:rPr>
      </w:pPr>
      <w:r>
        <w:rPr>
          <w:u w:val="single"/>
        </w:rPr>
        <w:t>Notices</w:t>
      </w:r>
    </w:p>
    <w:p>
      <w:pPr>
        <w:pStyle w:val="BodyText"/>
        <w:spacing w:before="240" w:after="0"/>
        <w:rPr/>
      </w:pPr>
      <w:r>
        <w:rPr/>
        <w:t xml:space="preserve">Until Enron otherwise directs in writing, Trading Edge agrees that copies of notices respecting such extraordinary matters will be sent to Enron at 1400 Smith Street, Houston, TX 77002 Attn: VP, Information Technology with a copy to Assistant General Counsel Trading Group at the same address.  </w:t>
      </w:r>
    </w:p>
    <w:p>
      <w:pPr>
        <w:pStyle w:val="Heading1"/>
        <w:numPr>
          <w:ilvl w:val="0"/>
          <w:numId w:val="0"/>
        </w:numPr>
        <w:spacing w:before="240" w:after="0"/>
        <w:ind w:hanging="0" w:start="0"/>
        <w:rPr>
          <w:u w:val="single"/>
        </w:rPr>
      </w:pPr>
      <w:r>
        <w:rPr>
          <w:u w:val="single"/>
        </w:rPr>
        <w:t>Tape Recording</w:t>
      </w:r>
    </w:p>
    <w:p>
      <w:pPr>
        <w:pStyle w:val="BodyText"/>
        <w:spacing w:before="240" w:after="0"/>
        <w:rPr/>
      </w:pPr>
      <w:r>
        <w:rPr/>
        <w:t xml:space="preserve">Each of us (i) consents to the monitoring or recording, at any time and from time to time, by the other of any and all communications in connection with this Agreement between affiliates, officers, directors, partners, employees, or agents of ours, (ii) waives any further notice of such monitoring or recording, and (iii) agrees to notify (and, if required by law, obtain, to the extent so required, the consent of) its affiliates, officers, directors, partners, employees and agents of this consent with respect to such monitoring or recording. </w:t>
      </w:r>
    </w:p>
    <w:p>
      <w:pPr>
        <w:pStyle w:val="Heading1"/>
        <w:numPr>
          <w:ilvl w:val="0"/>
          <w:numId w:val="0"/>
        </w:numPr>
        <w:spacing w:before="240" w:after="0"/>
        <w:ind w:hanging="0" w:start="0"/>
        <w:rPr>
          <w:u w:val="single"/>
        </w:rPr>
      </w:pPr>
      <w:r>
        <w:rPr>
          <w:u w:val="single"/>
        </w:rPr>
        <w:t>Arbitration and Jurisdiction</w:t>
      </w:r>
    </w:p>
    <w:p>
      <w:pPr>
        <w:pStyle w:val="Normal"/>
        <w:spacing w:before="120" w:after="0"/>
        <w:jc w:val="both"/>
        <w:rPr/>
      </w:pPr>
      <w:r>
        <w:rPr/>
        <w:t>As we discussed, arbitration is an acceptable method of dispute resolution, but not unless its tendency to become at least as delay-prone and expensive as litigation in court can be controlled.  We did not perceive the more succinct proposal that you put forth to accomplish such control and so propose in response that disputes be subject to the following, much more detailed provisions.</w:t>
      </w:r>
    </w:p>
    <w:p>
      <w:pPr>
        <w:pStyle w:val="Normal"/>
        <w:spacing w:before="120" w:after="0"/>
        <w:jc w:val="both"/>
        <w:rPr/>
      </w:pPr>
      <w:r>
        <w:rPr/>
        <w:tab/>
        <w:t xml:space="preserve">(A)  </w:t>
      </w:r>
      <w:r>
        <w:rPr>
          <w:u w:val="single"/>
        </w:rPr>
        <w:t>Scope of Arbitration</w:t>
      </w:r>
      <w:r>
        <w:rPr/>
        <w:t xml:space="preserve">.  All disputes between the parties arising out of or in connection with provisions hereof or the agreement shall be resolved by final and binding arbitration pursuant to these provisions and governing law. </w:t>
      </w:r>
    </w:p>
    <w:p>
      <w:pPr>
        <w:pStyle w:val="Normal"/>
        <w:spacing w:before="120" w:after="0"/>
        <w:jc w:val="both"/>
        <w:rPr/>
      </w:pPr>
      <w:r>
        <w:rPr/>
        <w:tab/>
        <w:t xml:space="preserve">(B)  </w:t>
      </w:r>
      <w:r>
        <w:rPr>
          <w:u w:val="single"/>
        </w:rPr>
        <w:t>Conference Before Arbitration</w:t>
      </w:r>
      <w:r>
        <w:rPr/>
        <w:t>.  The parties seek to avoid disputes and arbitrations whenever possible.  To that end, each demand for arbitration must be signed by the chief executive officer of the party initiating arbitration.  No arbitration proceedings shall commence until the chief executive officers of the parties have conferred about the dispute by telephone, or if the parties can agree on a time and place, in person; provided, however, that this requirement will be satisfied if the chief executive officer of the initiating party submits an affidavit to the Arbitration Panel stating that he has attempted in good faith to confer with his counterpart by telephone over a period of ten (10) Business Days but has been unable to do so.</w:t>
      </w:r>
    </w:p>
    <w:p>
      <w:pPr>
        <w:pStyle w:val="Normal"/>
        <w:spacing w:before="120" w:after="0"/>
        <w:jc w:val="both"/>
        <w:rPr/>
      </w:pPr>
      <w:r>
        <w:rPr/>
        <w:tab/>
        <w:t xml:space="preserve">(C)  </w:t>
      </w:r>
      <w:r>
        <w:rPr>
          <w:u w:val="single"/>
        </w:rPr>
        <w:t>Arbitration Procedures</w:t>
      </w:r>
      <w:r>
        <w:rPr/>
        <w:t>.  Arbitration hereunder shall be effected as follows:</w:t>
      </w:r>
    </w:p>
    <w:p>
      <w:pPr>
        <w:pStyle w:val="Normal"/>
        <w:spacing w:before="120" w:after="0"/>
        <w:jc w:val="both"/>
        <w:rPr/>
      </w:pPr>
      <w:r>
        <w:rPr/>
        <w:tab/>
        <w:tab/>
        <w:t xml:space="preserve">(1)  </w:t>
      </w:r>
      <w:r>
        <w:rPr>
          <w:u w:val="single"/>
        </w:rPr>
        <w:t>Arbitrators -- Selection, Qualifications, Costs</w:t>
      </w:r>
      <w:r>
        <w:rPr/>
        <w:t>.  Arbitrations shall take place before a panel of three arbitrators (“Arbitration Panel”) appointed as follows: (i) one to be appointed by each party hereto in its sole discretion and (ii) the third to be appointed by agreement of the first two, as further provided in this subsection (1).  All arbitrations shall be conducted in English.</w:t>
      </w:r>
    </w:p>
    <w:p>
      <w:pPr>
        <w:pStyle w:val="Normal"/>
        <w:spacing w:before="120" w:after="0"/>
        <w:jc w:val="both"/>
        <w:rPr/>
      </w:pPr>
      <w:r>
        <w:rPr/>
        <w:tab/>
        <w:tab/>
        <w:tab/>
        <w:t xml:space="preserve">(a)  </w:t>
      </w:r>
      <w:r>
        <w:rPr>
          <w:u w:val="single"/>
        </w:rPr>
        <w:t>Qualifications of Arbitrators Appointed by the Parties</w:t>
      </w:r>
      <w:r>
        <w:rPr/>
        <w:t>.  Arbitrators appointed directly by each party need not meet any particular standard of neutrality or disinterest, but must be English-speaking.</w:t>
      </w:r>
    </w:p>
    <w:p>
      <w:pPr>
        <w:pStyle w:val="Normal"/>
        <w:spacing w:before="120" w:after="0"/>
        <w:jc w:val="both"/>
        <w:rPr/>
      </w:pPr>
      <w:r>
        <w:rPr/>
        <w:tab/>
        <w:tab/>
        <w:tab/>
        <w:t xml:space="preserve">(b)  </w:t>
      </w:r>
      <w:r>
        <w:rPr>
          <w:u w:val="single"/>
        </w:rPr>
        <w:t>Costs and Expenses of Arbitrators</w:t>
      </w:r>
      <w:r>
        <w:rPr/>
        <w:t xml:space="preserve">.  Each party shall bear the expenses, fees and other costs of the arbitrator it appoints and the parties shall share equally the reasonable expenses, fees and other costs of the third arbitrator.  Such costs shall be paid as they are incurred or as reasonably directed by the Arbitration Panel.  </w:t>
      </w:r>
    </w:p>
    <w:p>
      <w:pPr>
        <w:pStyle w:val="Normal"/>
        <w:spacing w:before="120" w:after="0"/>
        <w:jc w:val="both"/>
        <w:rPr/>
      </w:pPr>
      <w:r>
        <w:rPr/>
        <w:tab/>
        <w:tab/>
        <w:tab/>
        <w:t xml:space="preserve">(c)  </w:t>
      </w:r>
      <w:r>
        <w:rPr>
          <w:u w:val="single"/>
        </w:rPr>
        <w:t>Time for Appointment</w:t>
      </w:r>
      <w:r>
        <w:rPr/>
        <w:t>.  Each party shall appoint its arbitrator within ten (10) Business Days of their sending or receiving, as the case may be, a demand for arbitration in accordance with this Schedule.  Failure to appoint an arbitrator prior to the expiration of such ten (10) day period shall immediately result in an award by the single arbitrator in favor of the party appointing such arbitrator on all matters presented.</w:t>
      </w:r>
    </w:p>
    <w:p>
      <w:pPr>
        <w:pStyle w:val="Normal"/>
        <w:spacing w:before="120" w:after="0"/>
        <w:jc w:val="both"/>
        <w:rPr/>
      </w:pPr>
      <w:r>
        <w:rPr/>
        <w:tab/>
        <w:tab/>
        <w:tab/>
        <w:t xml:space="preserve">(d)  </w:t>
      </w:r>
      <w:r>
        <w:rPr>
          <w:u w:val="single"/>
        </w:rPr>
        <w:t>Appointment of Third Arbitrator</w:t>
      </w:r>
      <w:r>
        <w:rPr/>
        <w:t>.  Within ten (10) Business Days of the appointment of the later of them to be appointed, the arbitrators appointed by the parties shall agree on and appoint the third arbitrator, who shall, if reasonably practicable, be familiar with the commercial practices of the securities and the computer industries, shall not be a member, director, officer, employee, agent or owner of shares or other interests in either of the parties or their affiliates and shall otherwise be disinterested, neutral and impartial.  In the event that the arbitrators appointed by the parties cannot so agree, any party or arbitrator may request in writing, with a copy to the parties, that the American Arbitration Association appoint such third arbitrator.</w:t>
      </w:r>
    </w:p>
    <w:p>
      <w:pPr>
        <w:pStyle w:val="Normal"/>
        <w:spacing w:before="120" w:after="0"/>
        <w:jc w:val="both"/>
        <w:rPr/>
      </w:pPr>
      <w:r>
        <w:rPr/>
        <w:tab/>
        <w:tab/>
        <w:t xml:space="preserve">(2)  </w:t>
      </w:r>
      <w:r>
        <w:rPr>
          <w:u w:val="single"/>
        </w:rPr>
        <w:t>Procedures and Other Matters</w:t>
      </w:r>
      <w:r>
        <w:rPr/>
        <w:t>.</w:t>
      </w:r>
    </w:p>
    <w:p>
      <w:pPr>
        <w:pStyle w:val="Normal"/>
        <w:spacing w:before="120" w:after="0"/>
        <w:jc w:val="both"/>
        <w:rPr/>
      </w:pPr>
      <w:r>
        <w:rPr/>
        <w:tab/>
        <w:tab/>
        <w:tab/>
        <w:t xml:space="preserve">(a)  </w:t>
      </w:r>
      <w:r>
        <w:rPr>
          <w:u w:val="single"/>
        </w:rPr>
        <w:t>Pleadings</w:t>
      </w:r>
      <w:r>
        <w:rPr/>
        <w:t>.  Unless otherwise agreed, the party initiating the arbitration shall have five (5) Business Days from the appointment of the third arbitrator in which to submit its pleadings and any supporting material to the Arbitration Panel and to the other party.  The other party shall have five (5) Business Days from its receipt of such materials to submit its responsive pleadings and supporting materials to the Arbitration Panel and to the other party.</w:t>
      </w:r>
    </w:p>
    <w:p>
      <w:pPr>
        <w:pStyle w:val="Normal"/>
        <w:spacing w:before="120" w:after="0"/>
        <w:jc w:val="both"/>
        <w:rPr/>
      </w:pPr>
      <w:r>
        <w:rPr/>
        <w:tab/>
        <w:tab/>
        <w:tab/>
        <w:t xml:space="preserve">(b)  </w:t>
      </w:r>
      <w:r>
        <w:rPr>
          <w:u w:val="single"/>
        </w:rPr>
        <w:t>Limited Discovery</w:t>
      </w:r>
      <w:r>
        <w:rPr/>
        <w:t>.  Upon written request to the Arbitration Panel at the time of the submission of its pleadings, a party may request disclosure to the requesting party and the Arbitration Panel of documentary and other tangible evidence of fundamental importance to the dispute that is held by the other party and that is not already substantially available to the requesting party.  In interpreting what is substantially available, the possibility that there are notations or comments on a particular copy of a document does not require production of that copy if the requesting party already has or should have copies of the underlying document nor does the possibility that there are or have been letters, e-mail, memoranda or other documents exchanged only between representatives of the same party require production of copies of those exchanges.  In response to such a request or on its own motion, the Arbitration Panel may in its discretion promptly order such disclosure.  The requesting party shall pay the reasonable expenses of copying and production in response to such order unless otherwise directed by the Panel for cause shown such as unreasonable cost or delay.  The Arbitration Panel may stay further proceedings in the arbitration for a maximum of twenty (20) Business Days from the date of its order to allow such disclosure to be made, subject to any restrictions imposed by the Arbitration Panel for the preservation of confidential business information.</w:t>
      </w:r>
    </w:p>
    <w:p>
      <w:pPr>
        <w:pStyle w:val="Normal"/>
        <w:spacing w:before="120" w:after="0"/>
        <w:jc w:val="both"/>
        <w:rPr/>
      </w:pPr>
      <w:r>
        <w:rPr/>
        <w:tab/>
        <w:tab/>
        <w:tab/>
        <w:tab/>
        <w:t>(i)  Upon such disclosure, the party that requested the information shall have an additional five (5) Business Days in which to submit supplemental pleadings and supporting materials to the Arbitration Panel and the other party, and the other party shall have an additional five (5) Business Days from the date of submission of such supplemental pleadings in which to submit responsive supplemental pleadings and supporting materials to the Arbitration Panel and the other party.</w:t>
      </w:r>
    </w:p>
    <w:p>
      <w:pPr>
        <w:pStyle w:val="Normal"/>
        <w:spacing w:before="120" w:after="0"/>
        <w:jc w:val="both"/>
        <w:rPr/>
      </w:pPr>
      <w:r>
        <w:rPr/>
        <w:tab/>
        <w:tab/>
        <w:tab/>
        <w:tab/>
        <w:t>(ii)  The failure of a party to make such disclosures if ordered to do so by the Arbitration Panel may, in the discretion of the Arbitration Panel, result in an award against such party and in favor of the party requesting such information.</w:t>
      </w:r>
    </w:p>
    <w:p>
      <w:pPr>
        <w:pStyle w:val="Normal"/>
        <w:spacing w:before="120" w:after="0"/>
        <w:jc w:val="both"/>
        <w:rPr/>
      </w:pPr>
      <w:r>
        <w:rPr/>
        <w:tab/>
        <w:tab/>
        <w:tab/>
        <w:tab/>
        <w:t>(iii) Except as specified in this subsection (b), no other rights of discovery, disclosure or production shall be available to the parties in connection with an arbitration.</w:t>
      </w:r>
    </w:p>
    <w:p>
      <w:pPr>
        <w:pStyle w:val="Normal"/>
        <w:spacing w:before="120" w:after="0"/>
        <w:jc w:val="both"/>
        <w:rPr/>
      </w:pPr>
      <w:r>
        <w:rPr/>
        <w:tab/>
        <w:tab/>
        <w:tab/>
        <w:t xml:space="preserve">(c)  </w:t>
      </w:r>
      <w:r>
        <w:rPr>
          <w:u w:val="single"/>
        </w:rPr>
        <w:t>Hearings</w:t>
      </w:r>
      <w:r>
        <w:rPr/>
        <w:t>.  Upon the written request of either party at the time of the submission of its pleadings, or at the request of the Arbitration Panel, a hearing shall be held within ten (10) Business Days of the earlier of (i) the Arbitration Panel's receipt and (ii) the passage of the time for the Arbitration Panel's receipt of the responsive pleadings, including any supplemental pleadings under subsection (b)(i) above.  The hearing shall be held in a location within the City of New York selected by the Panel based upon considerations of cost and convenience for all concerned.</w:t>
      </w:r>
    </w:p>
    <w:p>
      <w:pPr>
        <w:pStyle w:val="Normal"/>
        <w:spacing w:before="120" w:after="0"/>
        <w:jc w:val="both"/>
        <w:rPr/>
      </w:pPr>
      <w:r>
        <w:rPr/>
        <w:tab/>
        <w:tab/>
        <w:tab/>
        <w:t xml:space="preserve">(d)  </w:t>
      </w:r>
      <w:r>
        <w:rPr>
          <w:u w:val="single"/>
        </w:rPr>
        <w:t>Ex Parte Communications</w:t>
      </w:r>
      <w:r>
        <w:rPr/>
        <w:t xml:space="preserve">.  Each party may communicate freely with its arbitrator without regard to the presence or not of other parties to the arbitration.  Once the third arbitrator has been appointed, all ex parte communications between the parties and such third arbitrator shall cease.  </w:t>
      </w:r>
    </w:p>
    <w:p>
      <w:pPr>
        <w:pStyle w:val="Normal"/>
        <w:spacing w:before="120" w:after="0"/>
        <w:jc w:val="both"/>
        <w:rPr/>
      </w:pPr>
      <w:r>
        <w:rPr/>
        <w:tab/>
        <w:tab/>
        <w:tab/>
        <w:t xml:space="preserve">(e)  </w:t>
      </w:r>
      <w:r>
        <w:rPr>
          <w:u w:val="single"/>
        </w:rPr>
        <w:t>Awards</w:t>
      </w:r>
      <w:r>
        <w:rPr/>
        <w:t>.  The Arbitration Panel shall announce its award within twenty (20) Business Days of the later of (i) its receipt of all responsive and supplemental pleadings and (ii) the conclusion of any hearing.  For the guidance of the parties and of other Arbitration Panels, the Panel shall accompany its award with a written statement of its reasons for granting it.</w:t>
      </w:r>
    </w:p>
    <w:p>
      <w:pPr>
        <w:pStyle w:val="Normal"/>
        <w:spacing w:before="120" w:after="0"/>
        <w:jc w:val="both"/>
        <w:rPr/>
      </w:pPr>
      <w:r>
        <w:rPr/>
        <w:tab/>
        <w:tab/>
        <w:tab/>
        <w:t xml:space="preserve">(f)  </w:t>
      </w:r>
      <w:r>
        <w:rPr>
          <w:u w:val="single"/>
        </w:rPr>
        <w:t>Limitation of Appeals and Objections</w:t>
      </w:r>
      <w:r>
        <w:rPr/>
        <w:t>.   No appeal from or objection to an Arbitration Panel's award or order, shall be initiated more than one year after the date of such award or order.</w:t>
      </w:r>
    </w:p>
    <w:p>
      <w:pPr>
        <w:pStyle w:val="Normal"/>
        <w:spacing w:before="120" w:after="0"/>
        <w:jc w:val="both"/>
        <w:rPr/>
      </w:pPr>
      <w:r>
        <w:rPr/>
        <w:tab/>
        <w:tab/>
        <w:tab/>
        <w:t xml:space="preserve">(g)  </w:t>
      </w:r>
      <w:r>
        <w:rPr>
          <w:u w:val="single"/>
        </w:rPr>
        <w:t>Costs of Arbitration</w:t>
      </w:r>
      <w:r>
        <w:rPr/>
        <w:t>.  The party prevailing in any arbitration shall be awarded (i) reasonable attorneys' fees and costs and (ii) interest on any damages incurred for breach or other violation of the agreement from the date of the award until paid in full, at the prime rate in effect during that period at Morgan Guaranty Trust Company of New York.  Any costs, fees or taxes incident to enforcing an award shall, to the maximum extent permitted by law, be charged against the party resisting such enforcement.</w:t>
      </w:r>
    </w:p>
    <w:p>
      <w:pPr>
        <w:pStyle w:val="Normal"/>
        <w:spacing w:before="120" w:after="0"/>
        <w:jc w:val="both"/>
        <w:rPr/>
      </w:pPr>
      <w:r>
        <w:rPr/>
        <w:tab/>
        <w:tab/>
        <w:tab/>
        <w:t xml:space="preserve">(h)  </w:t>
      </w:r>
      <w:r>
        <w:rPr>
          <w:u w:val="single"/>
        </w:rPr>
        <w:t>Judgment on Awards</w:t>
      </w:r>
      <w:r>
        <w:rPr/>
        <w:t>.  Judgment on any award rendered pursuant to this provision may be entered in any court having jurisdiction, or application may be made to such court for a judicial recognition of the award or an order of enforcement thereof, as the case may be.  However, if the losing party fails to comply with the terms of the award, the prevailing party may seek enforcement of the award and judgment in court, all such non-compliance being deemed a breach of a material covenant under this agreement.</w:t>
      </w:r>
    </w:p>
    <w:p>
      <w:pPr>
        <w:pStyle w:val="Normal"/>
        <w:spacing w:before="120" w:after="0"/>
        <w:jc w:val="both"/>
        <w:rPr/>
      </w:pPr>
      <w:r>
        <w:rPr/>
        <w:tab/>
        <w:t xml:space="preserve">(D)  </w:t>
      </w:r>
      <w:r>
        <w:rPr>
          <w:u w:val="single"/>
        </w:rPr>
        <w:t>Survival and Limitation</w:t>
      </w:r>
      <w:r>
        <w:rPr/>
        <w:t>.  This provision shall survive termination of the Agreement until the applicable statute of limitations respecting the cause of action asserted shall have expired.  Any demand for arbitration of a dispute must be served on the other parties to this agreement no later than one year from the date the facts giving rise to such dispute occurred.</w:t>
      </w:r>
    </w:p>
    <w:p>
      <w:pPr>
        <w:pStyle w:val="Normal"/>
        <w:spacing w:before="120" w:after="0"/>
        <w:jc w:val="both"/>
        <w:rPr/>
      </w:pPr>
      <w:r>
        <w:rPr/>
        <w:tab/>
        <w:t xml:space="preserve">(E)  </w:t>
      </w:r>
      <w:r>
        <w:rPr>
          <w:u w:val="single"/>
        </w:rPr>
        <w:t>Choice of Law, Jurisdiction and Venue</w:t>
      </w:r>
      <w:r>
        <w:rPr/>
        <w:t xml:space="preserve">.  </w:t>
      </w:r>
      <w:r>
        <w:rPr>
          <w:rFonts w:cs="CG Times" w:ascii="CG Times" w:hAnsi="CG Times"/>
        </w:rPr>
        <w:t xml:space="preserve">This Agreement shall be governed by the laws of the State of New York other than the law thereof that would require reference to the laws of any other jurisdiction.  </w:t>
      </w:r>
      <w:bookmarkStart w:id="0" w:name="_Ref413480568"/>
      <w:bookmarkStart w:id="1" w:name="_Ref413480129"/>
      <w:r>
        <w:rPr>
          <w:rFonts w:cs="CG Times" w:ascii="CG Times" w:hAnsi="CG Times"/>
        </w:rPr>
        <w:t>All disputes, claims or controversies between the parties hereto shall be submitted to arbitration in the City of New York under the applicable rules of the NASD, if permissible under those rules, and otherwise under the Rules of the American Arbitration Association, in each case, as modified by these provisions</w:t>
      </w:r>
      <w:bookmarkEnd w:id="0"/>
      <w:bookmarkEnd w:id="1"/>
      <w:r>
        <w:rPr>
          <w:rFonts w:cs="CG Times" w:ascii="CG Times" w:hAnsi="CG Times"/>
        </w:rPr>
        <w:t xml:space="preserve">. </w:t>
      </w:r>
      <w:r>
        <w:rPr/>
        <w:t xml:space="preserve"> The parties</w:t>
      </w:r>
      <w:r>
        <w:rPr>
          <w:rFonts w:cs="CG Times" w:ascii="CG Times" w:hAnsi="CG Times"/>
        </w:rPr>
        <w:t xml:space="preserve"> consent and agree to the exclusive jurisdiction of the Federal and State courts in New York, New York, agree to commence actions, suits, and proceedings only in such courts, and waive any objection to venue in any such jurisdiction in the event any action, suit, or proceeding is commenced in such courts under or with respect to any matters in connection with this Agreement.  No action arising out of any claimed breach of this Agreement or transactions under this Agreement may be brought by either party more than one (1) year after the cause of action has accrued.  </w:t>
      </w:r>
    </w:p>
    <w:p>
      <w:pPr>
        <w:pStyle w:val="Heading1"/>
        <w:numPr>
          <w:ilvl w:val="0"/>
          <w:numId w:val="0"/>
        </w:numPr>
        <w:spacing w:before="240" w:after="0"/>
        <w:ind w:hanging="0" w:start="0"/>
        <w:rPr>
          <w:u w:val="single"/>
        </w:rPr>
      </w:pPr>
      <w:r>
        <w:rPr>
          <w:u w:val="single"/>
        </w:rPr>
        <w:t>Assignment</w:t>
      </w:r>
    </w:p>
    <w:p>
      <w:pPr>
        <w:pStyle w:val="Normal"/>
        <w:spacing w:before="240" w:after="0"/>
        <w:rPr/>
      </w:pPr>
      <w:r>
        <w:rPr/>
        <w:t xml:space="preserve">The agreement may not be assigned by you without the prior written consent of Trading Edge, which consent shall not be unreasonably withheld or delayed.  </w:t>
      </w:r>
    </w:p>
    <w:p>
      <w:pPr>
        <w:pStyle w:val="Heading1"/>
        <w:numPr>
          <w:ilvl w:val="0"/>
          <w:numId w:val="0"/>
        </w:numPr>
        <w:spacing w:before="240" w:after="0"/>
        <w:ind w:hanging="0" w:start="0"/>
        <w:rPr>
          <w:u w:val="single"/>
        </w:rPr>
      </w:pPr>
      <w:r>
        <w:rPr>
          <w:u w:val="single"/>
        </w:rPr>
        <w:t>TIPS Agreement</w:t>
      </w:r>
    </w:p>
    <w:p>
      <w:pPr>
        <w:pStyle w:val="Normal"/>
        <w:spacing w:before="240" w:after="0"/>
        <w:rPr/>
      </w:pPr>
      <w:r>
        <w:rPr/>
        <w:t xml:space="preserve">The TIPS agreement’s text is dictated to us by a third party and cannot be changed, even if we want to.  We should add that JJ Kenny has since required similar disclaimers of us for their benefit.  We expect others to insist on similar forms.  NASD is already in the wings.  As a result, we have moved the relevant text into a special section at the end of the Online Policies designed to accommodate such provisions.  Those revised policies are included as a part of this package.  </w:t>
      </w:r>
    </w:p>
    <w:p>
      <w:pPr>
        <w:pStyle w:val="BodyText"/>
        <w:keepNext w:val="true"/>
        <w:spacing w:before="240" w:after="0"/>
        <w:rPr/>
      </w:pPr>
      <w:r>
        <w:rPr/>
        <w:t>If you have any questions, please do not hesitate to call me at 212-813-6050.</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keepLines/>
        <w:spacing w:before="240" w:after="0"/>
        <w:rPr/>
      </w:pPr>
      <w:r>
        <w:rPr/>
        <w:t>Sincerely,</w:t>
        <w:br/>
        <w:br/>
        <w:br/>
        <w:br/>
        <w:t>Kenneth Austin</w:t>
        <w:br/>
        <w:t>Vice President</w:t>
      </w:r>
    </w:p>
    <w:p>
      <w:pPr>
        <w:pStyle w:val="Header"/>
        <w:spacing w:before="0" w:after="480"/>
        <w:jc w:val="center"/>
        <w:rPr>
          <w:rFonts w:ascii="Arial" w:hAnsi="Arial" w:cs="Arial"/>
          <w:b/>
          <w:sz w:val="32"/>
        </w:rPr>
      </w:pPr>
      <w:r>
        <w:rPr>
          <w:rFonts w:cs="Arial" w:ascii="Arial" w:hAnsi="Arial"/>
          <w:b/>
          <w:sz w:val="32"/>
        </w:rPr>
        <w:t>ACCESS AGREEMENT</w:t>
      </w:r>
    </w:p>
    <w:p>
      <w:pPr>
        <w:pStyle w:val="Normal"/>
        <w:ind w:firstLine="720" w:end="0"/>
        <w:rPr/>
      </w:pPr>
      <w:r>
        <w:rPr/>
        <w:t xml:space="preserve">AGREEMENT made as of this __ day of _________, 1999 by and between </w:t>
      </w:r>
      <w:r>
        <w:rPr>
          <w:b/>
          <w:smallCaps/>
        </w:rPr>
        <w:t>Trading Edge, Inc.</w:t>
      </w:r>
      <w:r>
        <w:rPr>
          <w:smallCaps/>
        </w:rPr>
        <w:t xml:space="preserve"> </w:t>
      </w:r>
      <w:r>
        <w:rPr/>
        <w:t>and the other entity named at the conclusion of this Agreement ("you", "your", "yourself", and/or "subscriber").</w:t>
      </w:r>
    </w:p>
    <w:p>
      <w:pPr>
        <w:pStyle w:val="Normal"/>
        <w:spacing w:before="240" w:after="0"/>
        <w:ind w:firstLine="720" w:end="0"/>
        <w:rPr/>
      </w:pPr>
      <w:r>
        <w:rPr/>
        <w:t xml:space="preserve">Before you utilize Trading Edge, Inc.'s </w:t>
      </w:r>
      <w:r>
        <w:rPr>
          <w:rFonts w:cs="Arial" w:ascii="Arial" w:hAnsi="Arial"/>
          <w:b/>
        </w:rPr>
        <w:t>Bond</w:t>
      </w:r>
      <w:r>
        <w:rPr>
          <w:rFonts w:cs="Arial" w:ascii="Arial" w:hAnsi="Arial"/>
          <w:b/>
          <w:i/>
        </w:rPr>
        <w:t>Link</w:t>
      </w:r>
      <w:r>
        <w:rPr>
          <w:rFonts w:cs="Arial" w:ascii="Arial" w:hAnsi="Arial"/>
          <w:i/>
        </w:rPr>
        <w:t>™</w:t>
      </w:r>
      <w:r>
        <w:rPr>
          <w:rFonts w:cs="Symbol,Italic" w:ascii="Symbol,Italic" w:hAnsi="Symbol,Italic"/>
        </w:rPr>
        <w:t xml:space="preserve"> </w:t>
      </w:r>
      <w:r>
        <w:rPr/>
        <w:t xml:space="preserve">Service, you will need to review the following agreement respecting Access to the </w:t>
      </w:r>
      <w:r>
        <w:rPr>
          <w:rFonts w:cs="Arial" w:ascii="Arial" w:hAnsi="Arial"/>
          <w:b/>
        </w:rPr>
        <w:t>Bond</w:t>
      </w:r>
      <w:r>
        <w:rPr>
          <w:rFonts w:cs="Arial" w:ascii="Arial" w:hAnsi="Arial"/>
          <w:b/>
          <w:i/>
        </w:rPr>
        <w:t>Link</w:t>
      </w:r>
      <w:r>
        <w:rPr>
          <w:rFonts w:cs="Arial" w:ascii="Arial" w:hAnsi="Arial"/>
          <w:i/>
        </w:rPr>
        <w:t>™</w:t>
      </w:r>
      <w:r>
        <w:rPr>
          <w:rFonts w:cs="Symbol,Italic" w:ascii="Symbol,Italic" w:hAnsi="Symbol,Italic"/>
        </w:rPr>
        <w:t xml:space="preserve"> </w:t>
      </w:r>
      <w:r>
        <w:rPr/>
        <w:t xml:space="preserve">Service ("Access").  </w:t>
      </w:r>
    </w:p>
    <w:p>
      <w:pPr>
        <w:pStyle w:val="Normal"/>
        <w:numPr>
          <w:ilvl w:val="0"/>
          <w:numId w:val="4"/>
        </w:numPr>
        <w:spacing w:before="240" w:after="0"/>
        <w:rPr/>
      </w:pPr>
      <w:r>
        <w:rPr/>
        <w:t>In addition to this Agreement, Trading Edge requires subscribers to abide by Trading Edge's Online Policies as from time to time revised upon reasonable written notice of the changes.  You agree to abide by these Online Policies as from time to time established by Trading Edge.  A copy of the current Online Policies is included in the Help file.  Except for the Online Policies, this Agreement may only be amended in a writing signed by the parties hereto.</w:t>
      </w:r>
    </w:p>
    <w:p>
      <w:pPr>
        <w:pStyle w:val="BodyTextIndent2"/>
        <w:spacing w:before="240" w:after="0"/>
        <w:rPr/>
      </w:pPr>
      <w:r>
        <w:rPr>
          <w:rFonts w:cs="Times New Roman" w:ascii="Times New Roman" w:hAnsi="Times New Roman"/>
        </w:rPr>
        <w:t>2.</w:t>
        <w:tab/>
        <w:t xml:space="preserve">Trading Edge will not materially alter the functionality of the </w:t>
      </w:r>
      <w:r>
        <w:rPr>
          <w:rFonts w:cs="Arial" w:ascii="Arial" w:hAnsi="Arial"/>
          <w:b/>
        </w:rPr>
        <w:t>Bond</w:t>
      </w:r>
      <w:r>
        <w:rPr>
          <w:rFonts w:cs="Arial" w:ascii="Arial" w:hAnsi="Arial"/>
          <w:b/>
          <w:i/>
        </w:rPr>
        <w:t>Link</w:t>
      </w:r>
      <w:r>
        <w:rPr>
          <w:rFonts w:cs="Arial" w:ascii="Arial" w:hAnsi="Arial"/>
          <w:i/>
        </w:rPr>
        <w:t>™</w:t>
      </w:r>
      <w:r>
        <w:rPr>
          <w:rFonts w:cs="Times New Roman" w:ascii="Times New Roman" w:hAnsi="Times New Roman"/>
        </w:rPr>
        <w:t xml:space="preserve"> Service respecting trading algorithms on less than 30 days prior written notice to subscribers, except that Trading Edge may at any time correct errors, make emergency repairs, upgrade security, and conform the service to regulatory changes or requirements without notice.  Such alterations will be binding and effective upon the later of (a) expiration of any applicable notice period and (b) implementation.  </w:t>
      </w:r>
    </w:p>
    <w:p>
      <w:pPr>
        <w:pStyle w:val="Normal"/>
        <w:numPr>
          <w:ilvl w:val="0"/>
          <w:numId w:val="2"/>
        </w:numPr>
        <w:spacing w:before="240" w:after="0"/>
        <w:rPr/>
      </w:pPr>
      <w:r>
        <w:rPr/>
        <w:t xml:space="preserve">Trading Edge reserves the right to distribute informative e-mails to our subscribers on an ad hoc basis that it feels are pertinent to the quality of our service.  These announcements are predominately informative in nature and often provide our subscribers with notification describing changes, upgrades, and other critical information pertaining to this evolving medium. </w:t>
      </w:r>
    </w:p>
    <w:p>
      <w:pPr>
        <w:pStyle w:val="Normal"/>
        <w:numPr>
          <w:ilvl w:val="0"/>
          <w:numId w:val="2"/>
        </w:numPr>
        <w:spacing w:before="240" w:after="0"/>
        <w:rPr/>
      </w:pPr>
      <w:r>
        <w:rPr/>
        <w:t xml:space="preserve">YOU AGREE THAT BY USING YOUR ACCESS YOU REPRESENT THAT YOU ARE LEGALLY ABLE TO ENTER INTO THIS AGREEMENT. </w:t>
      </w:r>
    </w:p>
    <w:p>
      <w:pPr>
        <w:pStyle w:val="Normal"/>
        <w:numPr>
          <w:ilvl w:val="0"/>
          <w:numId w:val="2"/>
        </w:numPr>
        <w:spacing w:before="240" w:after="0"/>
        <w:rPr/>
      </w:pPr>
      <w:r>
        <w:rPr/>
        <w:t xml:space="preserve">The Internet is not owned, operated, or managed by, or in any way affiliated with Trading Edge or any of Trading Edge's affiliates.  The Internet is an international computer network of both Federal and non-Federal inter-operable packet switched data networks.  Trading Edge cannot and will not guarantee that your Access is sufficient to meet your needs.  You agree that your use of your Access and of the Internet is solely at your own risk and is subject to all applicable local, state, national and international laws and regulations. </w:t>
      </w:r>
    </w:p>
    <w:p>
      <w:pPr>
        <w:pStyle w:val="Normal"/>
        <w:numPr>
          <w:ilvl w:val="0"/>
          <w:numId w:val="2"/>
        </w:numPr>
        <w:spacing w:before="240" w:after="0"/>
        <w:rPr/>
      </w:pPr>
      <w:r>
        <w:rPr/>
        <w:t xml:space="preserve">Your Access provides information, communications, software, video, graphics, sounds and other material and services located on Trading Edge's computer servers ("Content").  You agree that you must evaluate and bear the risks associated with the subject matter, accuracy, completeness or usefulness of any Content available to you on or through your Access. </w:t>
      </w:r>
    </w:p>
    <w:p>
      <w:pPr>
        <w:pStyle w:val="Normal"/>
        <w:numPr>
          <w:ilvl w:val="0"/>
          <w:numId w:val="2"/>
        </w:numPr>
        <w:spacing w:before="240" w:after="0"/>
        <w:rPr/>
      </w:pPr>
      <w:r>
        <w:rPr/>
        <w:t xml:space="preserve">You agree that Trading Edge has the right, but not the obligation, to remove Content from Trading Edge's computer servers which Trading Edge, in its sole discretion, determines to be in violation of this Agreement or Trading Edge Online Policies. </w:t>
      </w:r>
    </w:p>
    <w:p>
      <w:pPr>
        <w:pStyle w:val="Normal"/>
        <w:numPr>
          <w:ilvl w:val="0"/>
          <w:numId w:val="2"/>
        </w:numPr>
        <w:spacing w:before="240" w:after="0"/>
        <w:rPr/>
      </w:pPr>
      <w:r>
        <w:rPr/>
        <w:t xml:space="preserve">Your use of Access gives you limited rights to use the software through which you access Trading Edge's </w:t>
      </w:r>
      <w:r>
        <w:rPr>
          <w:rFonts w:cs="Arial" w:ascii="Arial" w:hAnsi="Arial"/>
          <w:b/>
        </w:rPr>
        <w:t>Bond</w:t>
      </w:r>
      <w:r>
        <w:rPr>
          <w:rFonts w:cs="Arial" w:ascii="Arial" w:hAnsi="Arial"/>
          <w:b/>
          <w:i/>
        </w:rPr>
        <w:t>Link</w:t>
      </w:r>
      <w:r>
        <w:rPr>
          <w:rFonts w:cs="Arial" w:ascii="Arial" w:hAnsi="Arial"/>
          <w:i/>
        </w:rPr>
        <w:t>™</w:t>
      </w:r>
      <w:r>
        <w:rPr/>
        <w:t xml:space="preserve"> Service ("Your Access Software").  Trading Edge grants you a non-exclusive, non-transferable, revocable, limited license to use Your Access Software for connecting through the Internet to Trading Edge’s </w:t>
      </w:r>
      <w:r>
        <w:rPr>
          <w:rFonts w:cs="Arial" w:ascii="Arial" w:hAnsi="Arial"/>
          <w:b/>
        </w:rPr>
        <w:t>Bond</w:t>
      </w:r>
      <w:r>
        <w:rPr>
          <w:rFonts w:cs="Arial" w:ascii="Arial" w:hAnsi="Arial"/>
          <w:b/>
          <w:i/>
        </w:rPr>
        <w:t>Link</w:t>
      </w:r>
      <w:r>
        <w:rPr>
          <w:rFonts w:cs="Arial" w:ascii="Arial" w:hAnsi="Arial"/>
          <w:i/>
        </w:rPr>
        <w:t>™</w:t>
      </w:r>
      <w:r>
        <w:rPr>
          <w:rFonts w:cs="Symbol,Italic" w:ascii="Symbol,Italic" w:hAnsi="Symbol,Italic"/>
          <w:b/>
          <w:i/>
        </w:rPr>
        <w:t xml:space="preserve"> </w:t>
      </w:r>
      <w:r>
        <w:rPr/>
        <w:t xml:space="preserve">Service. </w:t>
      </w:r>
    </w:p>
    <w:p>
      <w:pPr>
        <w:pStyle w:val="Normal"/>
        <w:numPr>
          <w:ilvl w:val="0"/>
          <w:numId w:val="2"/>
        </w:numPr>
        <w:spacing w:before="240" w:after="0"/>
        <w:rPr/>
      </w:pPr>
      <w:r>
        <w:rPr/>
        <w:t xml:space="preserve">You agree not to copy, modify, adapt, reproduce, translate, distribute, reverse engineer, decompile, or disassemble any aspect of Access, the Access of any other person, the </w:t>
      </w:r>
      <w:r>
        <w:rPr>
          <w:rFonts w:cs="Arial" w:ascii="Arial" w:hAnsi="Arial"/>
          <w:b/>
        </w:rPr>
        <w:t>Bond</w:t>
      </w:r>
      <w:r>
        <w:rPr>
          <w:rFonts w:cs="Arial" w:ascii="Arial" w:hAnsi="Arial"/>
          <w:b/>
          <w:i/>
        </w:rPr>
        <w:t>Link</w:t>
      </w:r>
      <w:r>
        <w:rPr>
          <w:rFonts w:cs="Arial" w:ascii="Arial" w:hAnsi="Arial"/>
          <w:i/>
        </w:rPr>
        <w:t xml:space="preserve">™ </w:t>
      </w:r>
      <w:r>
        <w:rPr/>
        <w:t xml:space="preserve">Service and/or Your Access Software. </w:t>
      </w:r>
    </w:p>
    <w:p>
      <w:pPr>
        <w:pStyle w:val="Normal"/>
        <w:numPr>
          <w:ilvl w:val="0"/>
          <w:numId w:val="2"/>
        </w:numPr>
        <w:spacing w:before="240" w:after="0"/>
        <w:rPr/>
      </w:pPr>
      <w:r>
        <w:rPr>
          <w:color w:val="000000"/>
        </w:rPr>
        <w:t xml:space="preserve">Trading Edge will defend at its expense and indemnify you and hold you harmless from and against any action, suit, proceeding, or settlement thereof, to the extent that such action, suit or proceeding claims that use of all or a portion of </w:t>
      </w:r>
      <w:r>
        <w:rPr/>
        <w:t xml:space="preserve">the </w:t>
      </w:r>
      <w:r>
        <w:rPr>
          <w:rFonts w:cs="Arial" w:ascii="Arial" w:hAnsi="Arial"/>
          <w:b/>
        </w:rPr>
        <w:t>Bond</w:t>
      </w:r>
      <w:r>
        <w:rPr>
          <w:rFonts w:cs="Arial" w:ascii="Arial" w:hAnsi="Arial"/>
          <w:b/>
          <w:i/>
        </w:rPr>
        <w:t>Link</w:t>
      </w:r>
      <w:r>
        <w:rPr>
          <w:rFonts w:cs="Arial" w:ascii="Arial" w:hAnsi="Arial"/>
          <w:i/>
        </w:rPr>
        <w:t xml:space="preserve">™ </w:t>
      </w:r>
      <w:r>
        <w:rPr/>
        <w:t>Service and/or Your Access Software</w:t>
      </w:r>
      <w:r>
        <w:rPr>
          <w:color w:val="000000"/>
        </w:rPr>
        <w:t xml:space="preserve"> developed and provided by Trading Edge infringes on patent, copyright or other intellectual property or trade secret interests (“Intellectual Property Interests”) of any third party (other than you or affiliates of yours), and Trading Edge shall pay those damages and costs finally awarded against any of them in such action, suit, proceeding or settlement that are attributable to such claim, provided that (1) you promptly notify Trading Edge in writing of any such claim, (2) Trading Edge shall be accorded sole control of the defense and of all negotiations for and settlement or compromise of such claims, and (3) you fully cooperate with Trading Edge in the defense and settlement of such claim, including providing to Trading Edge such information and assistance as Trading Edge may reasonably request.  You may, at your own expense, be represented in such defense. </w:t>
      </w:r>
    </w:p>
    <w:p>
      <w:pPr>
        <w:pStyle w:val="Normal"/>
        <w:spacing w:before="240" w:after="0"/>
        <w:ind w:start="360" w:end="0"/>
        <w:rPr/>
      </w:pPr>
      <w:r>
        <w:rPr>
          <w:color w:val="000000"/>
        </w:rPr>
        <w:t xml:space="preserve">The indemnification obligations of Trading Edge will not extend to claims for infringements (1) resulting from any additions or alterations to </w:t>
      </w:r>
      <w:r>
        <w:rPr/>
        <w:t xml:space="preserve">the </w:t>
      </w:r>
      <w:r>
        <w:rPr>
          <w:rFonts w:cs="Arial" w:ascii="Arial" w:hAnsi="Arial"/>
          <w:b/>
        </w:rPr>
        <w:t>Bond</w:t>
      </w:r>
      <w:r>
        <w:rPr>
          <w:rFonts w:cs="Arial" w:ascii="Arial" w:hAnsi="Arial"/>
          <w:b/>
          <w:i/>
        </w:rPr>
        <w:t>Link</w:t>
      </w:r>
      <w:r>
        <w:rPr>
          <w:rFonts w:cs="Arial" w:ascii="Arial" w:hAnsi="Arial"/>
          <w:i/>
        </w:rPr>
        <w:t xml:space="preserve">™ </w:t>
      </w:r>
      <w:r>
        <w:rPr/>
        <w:t>Service and/or Your Access Software</w:t>
      </w:r>
      <w:r>
        <w:rPr>
          <w:color w:val="000000"/>
        </w:rPr>
        <w:t xml:space="preserve"> other than by Trading Edge, a Trading Edge affiliate or, if acting at the written request of Trading Edge, any third party; (2) resulting from any use of </w:t>
      </w:r>
      <w:r>
        <w:rPr/>
        <w:t xml:space="preserve">the </w:t>
      </w:r>
      <w:r>
        <w:rPr>
          <w:rFonts w:cs="Arial" w:ascii="Arial" w:hAnsi="Arial"/>
          <w:b/>
        </w:rPr>
        <w:t>Bond</w:t>
      </w:r>
      <w:r>
        <w:rPr>
          <w:rFonts w:cs="Arial" w:ascii="Arial" w:hAnsi="Arial"/>
          <w:b/>
          <w:i/>
        </w:rPr>
        <w:t>Link</w:t>
      </w:r>
      <w:r>
        <w:rPr>
          <w:rFonts w:cs="Arial" w:ascii="Arial" w:hAnsi="Arial"/>
          <w:i/>
        </w:rPr>
        <w:t xml:space="preserve">™ </w:t>
      </w:r>
      <w:r>
        <w:rPr/>
        <w:t>Service and/or Your Access Software</w:t>
      </w:r>
      <w:r>
        <w:rPr>
          <w:color w:val="000000"/>
        </w:rPr>
        <w:t xml:space="preserve"> (a) by persons other than you and in the course of Services from Trading Edge or (b) with hardware, software or other technology that is not part of the</w:t>
      </w:r>
      <w:r>
        <w:rPr/>
        <w:t xml:space="preserve"> </w:t>
      </w:r>
      <w:r>
        <w:rPr>
          <w:rFonts w:cs="Arial" w:ascii="Arial" w:hAnsi="Arial"/>
          <w:b/>
        </w:rPr>
        <w:t>Bond</w:t>
      </w:r>
      <w:r>
        <w:rPr>
          <w:rFonts w:cs="Arial" w:ascii="Arial" w:hAnsi="Arial"/>
          <w:b/>
          <w:i/>
        </w:rPr>
        <w:t>Link</w:t>
      </w:r>
      <w:r>
        <w:rPr>
          <w:rFonts w:cs="Arial" w:ascii="Arial" w:hAnsi="Arial"/>
          <w:i/>
        </w:rPr>
        <w:t xml:space="preserve">™ </w:t>
      </w:r>
      <w:r>
        <w:rPr/>
        <w:t>Service and/or Your Access Software</w:t>
      </w:r>
      <w:r>
        <w:rPr>
          <w:color w:val="000000"/>
        </w:rPr>
        <w:t>, (3) that can be avoided by substitution of other hardware, software or technology at reasonable expense to you; and/or (4) to the extent that such infringement is contributed to or aggravated by the actions of persons other than you or Trading Edge.</w:t>
      </w:r>
      <w:r>
        <w:rPr/>
        <w:t xml:space="preserve"> </w:t>
      </w:r>
    </w:p>
    <w:p>
      <w:pPr>
        <w:pStyle w:val="Normal"/>
        <w:spacing w:before="240" w:after="0"/>
        <w:ind w:start="360" w:end="0"/>
        <w:rPr/>
      </w:pPr>
      <w:r>
        <w:rPr>
          <w:color w:val="000000"/>
        </w:rPr>
        <w:t>The obligations here stated constitute Trading Edge's sole liability, and are in lieu of damages, for any and all other claims that arise under or relate to this Agreement and that relate to the alleged infringement.  This indemnity shall apply only to acts that occurred during the term of this Agreement (and not to acts occurring thereafter) and that are alleged to have caused infringements that are within the scope of this indemnity.</w:t>
      </w:r>
      <w:r>
        <w:rPr/>
        <w:t xml:space="preserve"> </w:t>
      </w:r>
    </w:p>
    <w:p>
      <w:pPr>
        <w:pStyle w:val="Normal"/>
        <w:spacing w:before="240" w:after="0"/>
        <w:ind w:start="360" w:end="0"/>
        <w:rPr/>
      </w:pPr>
      <w:r>
        <w:rPr>
          <w:color w:val="000000"/>
        </w:rPr>
        <w:t xml:space="preserve">In the event that any portion of </w:t>
      </w:r>
      <w:r>
        <w:rPr/>
        <w:t xml:space="preserve">the </w:t>
      </w:r>
      <w:r>
        <w:rPr>
          <w:rFonts w:cs="Arial" w:ascii="Arial" w:hAnsi="Arial"/>
          <w:b/>
        </w:rPr>
        <w:t>Bond</w:t>
      </w:r>
      <w:r>
        <w:rPr>
          <w:rFonts w:cs="Arial" w:ascii="Arial" w:hAnsi="Arial"/>
          <w:b/>
          <w:i/>
        </w:rPr>
        <w:t>Link</w:t>
      </w:r>
      <w:r>
        <w:rPr>
          <w:rFonts w:cs="Arial" w:ascii="Arial" w:hAnsi="Arial"/>
          <w:i/>
        </w:rPr>
        <w:t xml:space="preserve">™ </w:t>
      </w:r>
      <w:r>
        <w:rPr/>
        <w:t>Service and/or Your Access Software</w:t>
      </w:r>
      <w:r>
        <w:rPr>
          <w:color w:val="000000"/>
        </w:rPr>
        <w:t xml:space="preserve"> becomes, or in Trading Edge's reasonable opinion is likely to become, the subject of a claim that the use of such portion infringes any Intellectual Property Interests of any third party, Trading Edge shall, at Trading Edge's option and expense, either (i) procure for you the right to continue using the same; (ii) replace the same with functionally substantially equivalent non-infringing components; (iii) modify the same to become non-infringing or (iv) remove the allegedly infringing portion and require that all use thereof be discontinued.  If Trading Edge elects (iv), all licenses of such portion pursuant to this Agreement shall be terminated. </w:t>
      </w:r>
    </w:p>
    <w:p>
      <w:pPr>
        <w:pStyle w:val="Normal"/>
        <w:numPr>
          <w:ilvl w:val="0"/>
          <w:numId w:val="3"/>
        </w:numPr>
        <w:spacing w:before="240" w:after="0"/>
        <w:ind w:hanging="360" w:start="360" w:end="0"/>
        <w:rPr/>
      </w:pPr>
      <w:r>
        <w:rPr/>
        <w:t xml:space="preserve">LIMITED WARRANTY AND LIABILITY.  Trading Edge warrants and agrees that the </w:t>
      </w:r>
      <w:r>
        <w:rPr>
          <w:rFonts w:cs="Arial" w:ascii="Arial" w:hAnsi="Arial"/>
          <w:b/>
        </w:rPr>
        <w:t>Bond</w:t>
      </w:r>
      <w:r>
        <w:rPr>
          <w:rFonts w:cs="Arial" w:ascii="Arial" w:hAnsi="Arial"/>
          <w:b/>
          <w:i/>
        </w:rPr>
        <w:t>Link</w:t>
      </w:r>
      <w:r>
        <w:rPr>
          <w:rFonts w:cs="Arial" w:ascii="Arial" w:hAnsi="Arial"/>
          <w:i/>
        </w:rPr>
        <w:t>™</w:t>
      </w:r>
      <w:r>
        <w:rPr>
          <w:rFonts w:cs="Symbol,Italic" w:ascii="Symbol,Italic" w:hAnsi="Symbol,Italic"/>
        </w:rPr>
        <w:t xml:space="preserve"> </w:t>
      </w:r>
      <w:r>
        <w:rPr/>
        <w:t xml:space="preserve">Service (a) will conform to its description and specifications as from time to time published by Trading Edge, (b) will not permit trades by you that are not authorized by orders transmitted by you to the </w:t>
      </w:r>
      <w:r>
        <w:rPr>
          <w:rFonts w:cs="Arial" w:ascii="Arial" w:hAnsi="Arial"/>
          <w:b/>
        </w:rPr>
        <w:t>Bond</w:t>
      </w:r>
      <w:r>
        <w:rPr>
          <w:rFonts w:cs="Arial" w:ascii="Arial" w:hAnsi="Arial"/>
          <w:b/>
          <w:i/>
        </w:rPr>
        <w:t>Link</w:t>
      </w:r>
      <w:r>
        <w:rPr>
          <w:rFonts w:cs="Arial" w:ascii="Arial" w:hAnsi="Arial"/>
          <w:i/>
        </w:rPr>
        <w:t>™</w:t>
      </w:r>
      <w:r>
        <w:rPr>
          <w:rFonts w:cs="Symbol,Italic" w:ascii="Symbol,Italic" w:hAnsi="Symbol,Italic"/>
        </w:rPr>
        <w:t xml:space="preserve"> </w:t>
      </w:r>
      <w:r>
        <w:rPr/>
        <w:t xml:space="preserve">Service.  Trading Edge further agrees promptly to inactivate orders as to which it has received cancellation instructions from you as well as upon the System detecting a loss of your session.  </w:t>
      </w:r>
    </w:p>
    <w:p>
      <w:pPr>
        <w:pStyle w:val="Normal"/>
        <w:spacing w:before="240" w:after="0"/>
        <w:ind w:start="360" w:end="0"/>
        <w:rPr/>
      </w:pPr>
      <w:r>
        <w:rPr/>
        <w:t xml:space="preserve">EXCEPT AS SET FORTH IMMEDIATELY ABOVE, YOU AGREE THAT YOUR ACCESS, YOUR ACCESS SOFTWARE, AND THE INTERNET ARE AVAILABLE TO YOU SOLELY AT YOUR OWN RISK; THAT THEY ARE PROVIDED ON AN "AS IS," "AS AVAILABLE" BASIS WITHOUT WARRANTIES OF ANY KIND, EITHER EXPRESS OR IMPLIED, INCLUDING THE WARRANTIES OF TITLE AND NON-INFRINGEMENT, UNLESS SUCH WARRANTIES ARE LEGALLY INCAPABLE OF EXCLUSION.  TRADING EDGE DISCLAIMS ANY AND ALL LOSS OR LIABILITY RESULTING FROM, BUT NOT LIMITED TO: (1) LOSS OF DATA; (2) LOSS OF SOFTWARE OR HARDWARE; (3) LOSS OR LIABILITY RESULTING FROM ACCESS DELAYS OR ACCESS INTERRUPTIONS; (4) LOSS OR LIABILITY RESULTING FROM COMPUTER VIRUSES; (5) LOSS OR LIABILITY RESULTING FROM DATA NON-DELIVERY OR DATA MIS-DELIVERY; (6) ANY OTHER LOSS OR LIABILITY RESULTING FROM THE NEGLIGENT ACTS AND/OR OMISSIONS OF TRADING EDGE OR TRADING EDGE'S SUBSCRIBERS; (7) LOSS AND LIABILITY RESULTING FROM ANY ERRORS, OMISSIONS, OR MISSTATEMENTS IN ANY AND ALL INFORMATION, GOODS, OR SERVICES OBTAINED BY OR THROUGH ACCESS; AND (8) LOSS OR LIABILITY RESULTING FROM ACTS OF GOD.  IN NO CIRCUMSTANCE SHALL TRADING EDGE BE LIABLE TO YOU OR ANY PERSON FOR WHOM YOU ARE AUTHORIZED OR PURPORT TO ACT FOR ANY INDIRECT, INCIDENTAL, OR CONSEQUENTIAL DAMAGES, INCLUDING LOST PROFITS, RESULTING FROM OR ARISING OUT OF THE PROVISION OF YOUR ACCESS, EVEN IF TRADING EDGE HAS BEEN ADVISED OF THE POSSIBILITY THEREOF AND EVEN IF DUE TO AN ERROR, OMISSION, OR NEGLIGENCE OF TRADING EDGE.  SOME STATES DO NOT ALLOW THE EXCLUSION OR LIMITATION OF CONSEQUENTIAL OR INCIDENTAL DAMAGES, SO THE ABOVE LIMITATION OR EXCLUSION MAY NOT APPLY TO YOU.  </w:t>
      </w:r>
    </w:p>
    <w:p>
      <w:pPr>
        <w:pStyle w:val="Normal"/>
        <w:numPr>
          <w:ilvl w:val="0"/>
          <w:numId w:val="3"/>
        </w:numPr>
        <w:spacing w:before="240" w:after="0"/>
        <w:ind w:hanging="360" w:start="360" w:end="0"/>
        <w:rPr/>
      </w:pPr>
      <w:r>
        <w:rPr/>
        <w:t xml:space="preserve">You may terminate this Agreement for any reason at any time with written notice to Trading Edge by U. S. mail.  Notice of your termination will be effective on receipt.  You agree that Trading Edge may at any time, in its sole discretion, terminate or restrict your Access without prior notice. </w:t>
      </w:r>
    </w:p>
    <w:p>
      <w:pPr>
        <w:pStyle w:val="Normal"/>
        <w:numPr>
          <w:ilvl w:val="0"/>
          <w:numId w:val="3"/>
        </w:numPr>
        <w:spacing w:before="240" w:after="0"/>
        <w:ind w:hanging="360" w:start="360" w:end="0"/>
        <w:rPr/>
      </w:pPr>
      <w:r>
        <w:rPr/>
        <w:t xml:space="preserve">You agree that your only right with respect to any dissatisfaction with any: (a) agreement term, policy, or practice of Trading Edge in providing your Access; (b) Content available by or through Access or change therein; or (c) amount or type of fees or billing methods, or change therein, is to terminate this Agreement as set forth in Paragraph 12. </w:t>
      </w:r>
    </w:p>
    <w:p>
      <w:pPr>
        <w:pStyle w:val="Normal"/>
        <w:numPr>
          <w:ilvl w:val="0"/>
          <w:numId w:val="3"/>
        </w:numPr>
        <w:spacing w:before="240" w:after="0"/>
        <w:ind w:hanging="360" w:start="360" w:end="0"/>
        <w:rPr/>
      </w:pPr>
      <w:r>
        <w:rPr/>
        <w:t xml:space="preserve">Trading Edge will work with you to select a user id and will assign you any user code(s), identification number(s) and initial password(s) necessary to ensure that access to and use of the </w:t>
      </w:r>
      <w:r>
        <w:rPr>
          <w:rFonts w:cs="Arial" w:ascii="Arial" w:hAnsi="Arial"/>
          <w:b/>
        </w:rPr>
        <w:t>Bond</w:t>
      </w:r>
      <w:r>
        <w:rPr>
          <w:rFonts w:cs="Arial" w:ascii="Arial" w:hAnsi="Arial"/>
          <w:b/>
          <w:i/>
        </w:rPr>
        <w:t>Link</w:t>
      </w:r>
      <w:r>
        <w:rPr>
          <w:rFonts w:cs="Arial" w:ascii="Arial" w:hAnsi="Arial"/>
          <w:i/>
        </w:rPr>
        <w:t>™</w:t>
      </w:r>
      <w:r>
        <w:rPr>
          <w:rFonts w:cs="Arial" w:ascii="Arial" w:hAnsi="Arial"/>
        </w:rPr>
        <w:t xml:space="preserve"> </w:t>
      </w:r>
      <w:r>
        <w:rPr/>
        <w:t xml:space="preserve">Service is confined to your authorized representatives.  Only the person whose name is on the account will be able to change their password.  Some restrictions may apply to the selection of user id.  </w:t>
      </w:r>
    </w:p>
    <w:p>
      <w:pPr>
        <w:pStyle w:val="Normal"/>
        <w:numPr>
          <w:ilvl w:val="0"/>
          <w:numId w:val="3"/>
        </w:numPr>
        <w:spacing w:before="240" w:after="0"/>
        <w:ind w:hanging="360" w:start="360" w:end="0"/>
        <w:rPr/>
      </w:pPr>
      <w:r>
        <w:rPr/>
        <w:t xml:space="preserve">You acknowledge that the information in the </w:t>
      </w:r>
      <w:r>
        <w:rPr>
          <w:rFonts w:cs="Arial" w:ascii="Arial" w:hAnsi="Arial"/>
          <w:b/>
        </w:rPr>
        <w:t>Bond</w:t>
      </w:r>
      <w:r>
        <w:rPr>
          <w:rFonts w:cs="Arial" w:ascii="Arial" w:hAnsi="Arial"/>
          <w:b/>
          <w:i/>
        </w:rPr>
        <w:t>Link</w:t>
      </w:r>
      <w:r>
        <w:rPr>
          <w:rFonts w:cs="Arial" w:ascii="Arial" w:hAnsi="Arial"/>
          <w:i/>
        </w:rPr>
        <w:t>™</w:t>
      </w:r>
      <w:r>
        <w:rPr/>
        <w:t xml:space="preserve"> Service (i) as to the identity of subscribers, the prices, quantities and levels of willingness to trade disclosed and the associated boundary conditions, tracking instructions, and other information and (ii) the data bases, hardware, software, programs, protocols, displays and manuals, including the selection, coordination, and arrangement of the contents thereof (the “Information”) are trade secrets, proprietary to Trading Edge (or its licensors), as to which copyright and patent rights of Trading Edge may also exist.  Insofar as the Information is or may be disclosed to you and is not specific to you or your customers, you agree to keep such Information confidential and to utilize such Information solely for your own trading activities and the trading activities of your customers and other persons for which your are authorized to act.  You agree (x) that all copies and expressions of such Information originating from the </w:t>
      </w:r>
      <w:r>
        <w:rPr>
          <w:rFonts w:cs="Arial" w:ascii="Arial" w:hAnsi="Arial"/>
          <w:b/>
        </w:rPr>
        <w:t>Bond</w:t>
      </w:r>
      <w:r>
        <w:rPr>
          <w:rFonts w:cs="Arial" w:ascii="Arial" w:hAnsi="Arial"/>
          <w:b/>
          <w:i/>
        </w:rPr>
        <w:t>Link</w:t>
      </w:r>
      <w:r>
        <w:rPr>
          <w:rFonts w:cs="Arial" w:ascii="Arial" w:hAnsi="Arial"/>
          <w:i/>
        </w:rPr>
        <w:t>™</w:t>
      </w:r>
      <w:r>
        <w:rPr/>
        <w:t xml:space="preserve"> Service are the exclusive property of Trading Edge to be returned to Trading Edge upon expiration or termination of this Agreement for any and all reasons whatsoever, (y) to take or cause to be taken all reasonable precautions to maintain the secrecy and confidentiality of such Information and (z) not disclose, and shall use reasonable efforts not to permit the disclosure of, any part of such Information to any other person. </w:t>
      </w:r>
    </w:p>
    <w:p>
      <w:pPr>
        <w:pStyle w:val="Normal"/>
        <w:numPr>
          <w:ilvl w:val="0"/>
          <w:numId w:val="3"/>
        </w:numPr>
        <w:spacing w:before="240" w:after="0"/>
        <w:ind w:hanging="360" w:start="360" w:end="0"/>
        <w:rPr/>
      </w:pPr>
      <w:r>
        <w:rPr/>
        <w:t xml:space="preserve">The </w:t>
      </w:r>
      <w:r>
        <w:rPr>
          <w:rFonts w:cs="Arial" w:ascii="Arial" w:hAnsi="Arial"/>
          <w:b/>
        </w:rPr>
        <w:t>Bond</w:t>
      </w:r>
      <w:r>
        <w:rPr>
          <w:rFonts w:cs="Arial" w:ascii="Arial" w:hAnsi="Arial"/>
          <w:b/>
          <w:i/>
        </w:rPr>
        <w:t>Link</w:t>
      </w:r>
      <w:r>
        <w:rPr>
          <w:rFonts w:cs="Arial" w:ascii="Arial" w:hAnsi="Arial"/>
          <w:i/>
        </w:rPr>
        <w:t>™</w:t>
      </w:r>
      <w:r>
        <w:rPr/>
        <w:t xml:space="preserve"> Service discloses all orders and transactions to all users in real-time.  However, the identity of a user and other confidential information of a user that may come into the possession of Trading Edge is not disclosed to any person other than to that user; Trading Edge staff; in the ordinary course of reporting such orders and trades to any relevant market facilities from time to time required or permitted to be used such as the consolidated tape and as to resolving disputes respecting same; to clearing firms, clearing corporations, depositories and other such entities in accord with their rules, regulations and industry practices; pursuant to an order or subpoena of a court or legislative, regulatory or other body having jurisdiction over Trading Edge; or where required by law or regulation to be made available to any customer or regulatory, examining or other official body having appropriate authority.  </w:t>
      </w:r>
    </w:p>
    <w:p>
      <w:pPr>
        <w:pStyle w:val="Normal"/>
        <w:numPr>
          <w:ilvl w:val="0"/>
          <w:numId w:val="3"/>
        </w:numPr>
        <w:spacing w:before="240" w:after="0"/>
        <w:ind w:hanging="360" w:start="360" w:end="0"/>
        <w:rPr/>
      </w:pPr>
      <w:r>
        <w:rPr/>
        <w:t xml:space="preserve">You agree that Trading Edge has the right, but, because of industry and business record-keeping requirements from time to time applicable to Trading Edge, not the obligation, to delete all programs, data, or other files on Trading Edge's computer servers that are associated with your account at the time of termination.  Trading Edge will promptly inactivate open orders then in the </w:t>
      </w:r>
      <w:r>
        <w:rPr>
          <w:rFonts w:cs="Arial" w:ascii="Arial" w:hAnsi="Arial"/>
          <w:b/>
        </w:rPr>
        <w:t>Bond</w:t>
      </w:r>
      <w:r>
        <w:rPr>
          <w:rFonts w:cs="Arial" w:ascii="Arial" w:hAnsi="Arial"/>
          <w:b/>
          <w:i/>
        </w:rPr>
        <w:t>Link</w:t>
      </w:r>
      <w:r>
        <w:rPr>
          <w:rFonts w:cs="Arial" w:ascii="Arial" w:hAnsi="Arial"/>
          <w:i/>
        </w:rPr>
        <w:t>™</w:t>
      </w:r>
      <w:r>
        <w:rPr>
          <w:rFonts w:cs="Arial" w:ascii="Arial" w:hAnsi="Arial"/>
        </w:rPr>
        <w:t xml:space="preserve"> </w:t>
      </w:r>
      <w:r>
        <w:rPr/>
        <w:t>Service as well as related user id’s, code(s), identification number(s) and password(s).</w:t>
      </w:r>
    </w:p>
    <w:p>
      <w:pPr>
        <w:pStyle w:val="Normal"/>
        <w:numPr>
          <w:ilvl w:val="0"/>
          <w:numId w:val="3"/>
        </w:numPr>
        <w:spacing w:before="240" w:after="0"/>
        <w:ind w:hanging="360" w:start="360" w:end="0"/>
        <w:rPr/>
      </w:pPr>
      <w:r>
        <w:rPr/>
        <w:t xml:space="preserve">You agree that (a) this Agreement, Trading Edge's Online Policies and any accompanying TIPS Agreement (required by suppliers) comprise the entire understanding between Trading Edge and you, and supersede any prior agreements between you and Trading Edge with respect to the subject matter of this Agreement and (b) if any portion of this Agreement or Trading Edge's Online Policies is held invalid or unenforceable, that portion will be construed consistent with applicable law as nearly as possible to reflect the original intentions of the parties and the remaining portions will remain in full force and effect. </w:t>
      </w:r>
    </w:p>
    <w:p>
      <w:pPr>
        <w:pStyle w:val="Normal"/>
        <w:numPr>
          <w:ilvl w:val="0"/>
          <w:numId w:val="3"/>
        </w:numPr>
        <w:spacing w:before="240" w:after="0"/>
        <w:ind w:hanging="360" w:start="360" w:end="0"/>
        <w:rPr/>
      </w:pPr>
      <w:r>
        <w:rPr/>
        <w:t>Except as otherwise specifically provided, all notices and other communications required or permitted hereunder may be by electronic mail to the addresses set forth at the end of this Agreement (and to such other addresses as a party may reasonably specify by at least ten days prior notice by conventional mail to the other).  Notices by other means shall be in writing and deemed to have been duly given if and when delivered by hand, by overnight courier or mailed, certified or registered mail with postage pre-paid, to the address of the intended party set forth below, or to such other person or address as a party shall give notice to the other pursuant to this Section.  In addition, notices and other communications required or permitted hereunder may be given by facsimile if confirmed by the permitted means.</w:t>
      </w:r>
    </w:p>
    <w:p>
      <w:pPr>
        <w:pStyle w:val="Normal"/>
        <w:numPr>
          <w:ilvl w:val="0"/>
          <w:numId w:val="3"/>
        </w:numPr>
        <w:spacing w:before="240" w:after="0"/>
        <w:ind w:hanging="360" w:start="360" w:end="0"/>
        <w:rPr/>
      </w:pPr>
      <w:r>
        <w:rPr/>
        <w:t xml:space="preserve">This Agreement has been negotiated and the terms and conditions of your Access agreed principally in or from Trading Edge’s offices in the State of New York.  This Agreement will be governed by the laws of the state of New York, excluding its conflicts of law rules, and you and Trading Edge each submit to the exclusive subject matter jurisdiction, personal jurisdiction, and venue of the courts of the state of New York.  </w:t>
      </w:r>
    </w:p>
    <w:p>
      <w:pPr>
        <w:pStyle w:val="Normal"/>
        <w:spacing w:before="240" w:after="240"/>
        <w:ind w:firstLine="720" w:end="0"/>
        <w:rPr/>
      </w:pPr>
      <w:r>
        <w:rPr/>
        <w:t>IN WITNESS WHEREOF, the parties hereto have hereunto set their hands this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BodyText"/>
              <w:keepNext w:val="true"/>
              <w:keepLines/>
              <w:spacing w:before="0" w:after="480"/>
              <w:rPr>
                <w:b/>
                <w:smallCaps/>
              </w:rPr>
            </w:pPr>
            <w:r>
              <w:rPr>
                <w:b/>
                <w:smallCaps/>
              </w:rPr>
              <w:t>Trading Edge, Inc.</w:t>
            </w:r>
          </w:p>
          <w:p>
            <w:pPr>
              <w:pStyle w:val="BodyText"/>
              <w:keepNext w:val="true"/>
              <w:keepLines/>
              <w:tabs>
                <w:tab w:val="clear" w:pos="720"/>
                <w:tab w:val="left" w:pos="4410" w:leader="none"/>
              </w:tabs>
              <w:rPr/>
            </w:pPr>
            <w:r>
              <w:rPr/>
              <w:t>By:</w:t>
            </w:r>
            <w:r>
              <w:rPr>
                <w:u w:val="single"/>
              </w:rPr>
              <w:tab/>
            </w:r>
          </w:p>
          <w:p>
            <w:pPr>
              <w:pStyle w:val="BodyText"/>
              <w:keepNext w:val="true"/>
              <w:keepLines/>
              <w:tabs>
                <w:tab w:val="clear" w:pos="720"/>
                <w:tab w:val="left" w:pos="4410" w:leader="none"/>
              </w:tabs>
              <w:ind w:start="540" w:end="0"/>
              <w:rPr/>
            </w:pPr>
            <w:r>
              <w:rPr/>
              <w:t>Kenneth Austin</w:t>
            </w:r>
          </w:p>
          <w:p>
            <w:pPr>
              <w:pStyle w:val="BodyText"/>
              <w:keepNext w:val="true"/>
              <w:keepLines/>
              <w:tabs>
                <w:tab w:val="clear" w:pos="720"/>
                <w:tab w:val="left" w:pos="4410" w:leader="none"/>
              </w:tabs>
              <w:ind w:start="540" w:end="0"/>
              <w:rPr/>
            </w:pPr>
            <w:r>
              <w:rPr/>
              <w:t>Vice President</w:t>
            </w:r>
          </w:p>
          <w:p>
            <w:pPr>
              <w:pStyle w:val="BodyText"/>
              <w:keepNext w:val="true"/>
              <w:keepLines/>
              <w:tabs>
                <w:tab w:val="clear" w:pos="720"/>
                <w:tab w:val="left" w:pos="4410" w:leader="none"/>
              </w:tabs>
              <w:ind w:start="540" w:end="0"/>
              <w:rPr/>
            </w:pPr>
            <w:r>
              <w:rPr/>
              <w:t>E-Mail: kaustin@tradingedge.com</w:t>
              <w:br/>
              <w:t>Address: Trading Edge, Inc.</w:t>
              <w:br/>
              <w:t>               140 Broadway, 42d Floor</w:t>
              <w:br/>
              <w:t>               New York, NY 10005</w:t>
            </w:r>
          </w:p>
        </w:tc>
        <w:tc>
          <w:tcPr>
            <w:tcW w:w="4788" w:type="dxa"/>
            <w:tcBorders/>
          </w:tcPr>
          <w:p>
            <w:pPr>
              <w:pStyle w:val="BodyText"/>
              <w:keepNext w:val="true"/>
              <w:keepLines/>
              <w:spacing w:before="0" w:after="480"/>
              <w:rPr>
                <w:b/>
                <w:smallCaps/>
              </w:rPr>
            </w:pPr>
            <w:r>
              <w:rPr>
                <w:b/>
                <w:smallCaps/>
              </w:rPr>
              <w:t>Enron ???????</w:t>
            </w:r>
          </w:p>
          <w:p>
            <w:pPr>
              <w:pStyle w:val="BodyText"/>
              <w:keepNext w:val="true"/>
              <w:keepLines/>
              <w:tabs>
                <w:tab w:val="clear" w:pos="720"/>
                <w:tab w:val="left" w:pos="4410" w:leader="none"/>
              </w:tabs>
              <w:rPr/>
            </w:pPr>
            <w:r>
              <w:rPr/>
              <w:t>By:</w:t>
            </w:r>
            <w:r>
              <w:rPr>
                <w:u w:val="single"/>
              </w:rPr>
              <w:tab/>
            </w:r>
          </w:p>
          <w:p>
            <w:pPr>
              <w:pStyle w:val="BodyText"/>
              <w:keepNext w:val="true"/>
              <w:keepLines/>
              <w:tabs>
                <w:tab w:val="clear" w:pos="720"/>
                <w:tab w:val="left" w:pos="4410" w:leader="none"/>
              </w:tabs>
              <w:ind w:start="540" w:end="0"/>
              <w:rPr/>
            </w:pPr>
            <w:r>
              <w:rPr/>
            </w:r>
          </w:p>
          <w:p>
            <w:pPr>
              <w:pStyle w:val="BodyText"/>
              <w:keepNext w:val="true"/>
              <w:keepLines/>
              <w:tabs>
                <w:tab w:val="clear" w:pos="720"/>
                <w:tab w:val="left" w:pos="4410" w:leader="none"/>
              </w:tabs>
              <w:ind w:start="540" w:end="0"/>
              <w:rPr/>
            </w:pPr>
            <w:r>
              <w:rPr/>
            </w:r>
          </w:p>
          <w:p>
            <w:pPr>
              <w:pStyle w:val="BodyText"/>
              <w:keepNext w:val="true"/>
              <w:keepLines/>
              <w:tabs>
                <w:tab w:val="clear" w:pos="720"/>
                <w:tab w:val="left" w:pos="4410" w:leader="none"/>
              </w:tabs>
              <w:ind w:start="540" w:end="0"/>
              <w:rPr/>
            </w:pPr>
            <w:r>
              <w:rPr/>
              <w:t>E-Mail: </w:t>
              <w:br/>
              <w:t>Address: </w:t>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Heading1"/>
        <w:numPr>
          <w:ilvl w:val="0"/>
          <w:numId w:val="0"/>
        </w:numPr>
        <w:spacing w:before="720" w:after="0"/>
        <w:ind w:hanging="0" w:start="0"/>
        <w:jc w:val="center"/>
        <w:rPr>
          <w:rFonts w:cs="Arial"/>
          <w:szCs w:val="24"/>
        </w:rPr>
      </w:pPr>
      <w:r>
        <w:rPr>
          <w:rFonts w:cs="Arial"/>
          <w:szCs w:val="24"/>
        </w:rPr>
        <w:t>TRADING EDGE, INC. ONLINE POLICIES</w:t>
      </w:r>
    </w:p>
    <w:p>
      <w:pPr>
        <w:pStyle w:val="NormalWeb"/>
        <w:rPr/>
      </w:pPr>
      <w:r>
        <w:rPr>
          <w:rFonts w:cs="Arial" w:ascii="Arial" w:hAnsi="Arial"/>
        </w:rPr>
        <w:t>Trading Edge, Inc. is a registered broker/dealer and member of the NASD and SIPC.  It owns and operates the Bond</w:t>
      </w:r>
      <w:r>
        <w:rPr>
          <w:rFonts w:cs="Arial" w:ascii="Arial" w:hAnsi="Arial"/>
          <w:i/>
          <w:iCs/>
          <w:color w:val="FF0000"/>
        </w:rPr>
        <w:t>Link</w:t>
      </w:r>
      <w:r>
        <w:rPr>
          <w:rFonts w:eastAsia="Symbol" w:cs="Symbol" w:ascii="Symbol" w:hAnsi="Symbol"/>
          <w:color w:val="FF0000"/>
        </w:rPr>
        <w:sym w:font="Symbol" w:char="f0d4"/>
      </w:r>
      <w:r>
        <w:rPr>
          <w:rFonts w:cs="Arial" w:ascii="Arial" w:hAnsi="Arial"/>
        </w:rPr>
        <w:t xml:space="preserve"> trading service in accordance with the following on-line procedures.  Trading Edge may change these procedures from time to time, upon notice to users that is reasonable under the circumstances.  They are available in the online help file accessible from the Bond</w:t>
      </w:r>
      <w:r>
        <w:rPr>
          <w:rFonts w:cs="Arial" w:ascii="Arial" w:hAnsi="Arial"/>
          <w:i/>
          <w:iCs/>
          <w:color w:val="FF0000"/>
        </w:rPr>
        <w:t>Link</w:t>
      </w:r>
      <w:r>
        <w:rPr>
          <w:rFonts w:eastAsia="Symbol" w:cs="Symbol" w:ascii="Symbol" w:hAnsi="Symbol"/>
          <w:color w:val="FF0000"/>
        </w:rPr>
        <w:sym w:font="Symbol" w:char="f0d4"/>
      </w:r>
      <w:r>
        <w:rPr>
          <w:rFonts w:cs="Arial" w:ascii="Arial" w:hAnsi="Arial"/>
        </w:rPr>
        <w:t xml:space="preserve"> service.  </w:t>
      </w:r>
    </w:p>
    <w:p>
      <w:pPr>
        <w:pStyle w:val="NormalWeb"/>
        <w:rPr>
          <w:rFonts w:ascii="Arial" w:hAnsi="Arial" w:cs="Arial"/>
        </w:rPr>
      </w:pPr>
      <w:r>
        <w:rPr>
          <w:rFonts w:cs="Arial" w:ascii="Arial" w:hAnsi="Arial"/>
        </w:rPr>
        <w:t>Bond</w:t>
      </w:r>
      <w:r>
        <w:rPr>
          <w:rFonts w:cs="Arial" w:ascii="Arial" w:hAnsi="Arial"/>
          <w:i/>
          <w:iCs/>
          <w:color w:val="FF0000"/>
        </w:rPr>
        <w:t>Link</w:t>
      </w:r>
      <w:r>
        <w:rPr>
          <w:rFonts w:eastAsia="Symbol" w:cs="Symbol" w:ascii="Symbol" w:hAnsi="Symbol"/>
          <w:color w:val="FF0000"/>
        </w:rPr>
        <w:sym w:font="Symbol" w:char="f0d4"/>
      </w:r>
      <w:r>
        <w:rPr>
          <w:rFonts w:cs="Arial" w:ascii="Arial" w:hAnsi="Arial"/>
        </w:rPr>
        <w:t xml:space="preserve"> maintains the anonymity of all participants, subject only to settlement and regulatory requirements, and legal processes.  </w:t>
      </w:r>
    </w:p>
    <w:p>
      <w:pPr>
        <w:pStyle w:val="NormalWeb"/>
        <w:rPr/>
      </w:pPr>
      <w:r>
        <w:rPr>
          <w:rFonts w:cs="Arial" w:ascii="Arial" w:hAnsi="Arial"/>
          <w:b/>
          <w:bCs/>
          <w:color w:val="000000"/>
        </w:rPr>
        <w:t xml:space="preserve">ALL ORDERS IN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color w:val="FF0000"/>
        </w:rPr>
        <w:t xml:space="preserve"> </w:t>
      </w:r>
      <w:r>
        <w:rPr>
          <w:rFonts w:cs="Arial" w:ascii="Arial" w:hAnsi="Arial"/>
          <w:b/>
          <w:bCs/>
          <w:color w:val="000000"/>
        </w:rPr>
        <w:t xml:space="preserve">SERVICE ARE FULLY EXECUTABLE ON THEIR TERMS UNTIL THEY TRADE, EXPIRE OR ARE CANCELLED.  </w:t>
      </w:r>
    </w:p>
    <w:p>
      <w:pPr>
        <w:pStyle w:val="NormalWeb"/>
        <w:rPr>
          <w:rFonts w:ascii="Arial" w:hAnsi="Arial" w:cs="Arial"/>
        </w:rPr>
      </w:pPr>
      <w:r>
        <w:rPr>
          <w:rFonts w:cs="Arial" w:ascii="Arial" w:hAnsi="Arial"/>
          <w:color w:val="000000"/>
        </w:rPr>
        <w:t xml:space="preserve">Trading Edge staff can cancel resting orders; however, it is quicker for users to do this through their workstations.  </w:t>
      </w:r>
    </w:p>
    <w:p>
      <w:pPr>
        <w:pStyle w:val="NormalWeb"/>
        <w:rPr>
          <w:rFonts w:ascii="Arial" w:hAnsi="Arial" w:cs="Arial"/>
          <w:color w:val="000000"/>
        </w:rPr>
      </w:pPr>
      <w:r>
        <w:rPr>
          <w:rFonts w:cs="Arial" w:ascii="Arial" w:hAnsi="Arial"/>
          <w:color w:val="000000"/>
        </w:rPr>
        <w:t xml:space="preserve">There are no "subject" orders.  </w:t>
      </w:r>
    </w:p>
    <w:p>
      <w:pPr>
        <w:pStyle w:val="NormalWeb"/>
        <w:rPr>
          <w:rFonts w:ascii="Arial" w:hAnsi="Arial" w:cs="Arial"/>
        </w:rPr>
      </w:pPr>
      <w:r>
        <w:rPr>
          <w:rFonts w:cs="Arial" w:ascii="Arial" w:hAnsi="Arial"/>
          <w:color w:val="000000"/>
        </w:rPr>
        <w:t xml:space="preserve">All orders entered into the service must be priced.  </w:t>
      </w:r>
    </w:p>
    <w:p>
      <w:pPr>
        <w:pStyle w:val="NormalWeb"/>
        <w:rPr>
          <w:rFonts w:ascii="Arial" w:hAnsi="Arial" w:cs="Arial"/>
        </w:rPr>
      </w:pPr>
      <w:r>
        <w:rPr>
          <w:rFonts w:cs="Arial" w:ascii="Arial" w:hAnsi="Arial"/>
          <w:color w:val="000000"/>
        </w:rPr>
        <w:t xml:space="preserve">All orders will be broadcast and displayed to all users.  </w:t>
      </w:r>
    </w:p>
    <w:p>
      <w:pPr>
        <w:pStyle w:val="NormalWeb"/>
        <w:rPr>
          <w:rFonts w:ascii="Arial" w:hAnsi="Arial" w:cs="Arial"/>
        </w:rPr>
      </w:pPr>
      <w:r>
        <w:rPr>
          <w:rFonts w:cs="Arial" w:ascii="Arial" w:hAnsi="Arial"/>
          <w:color w:val="000000"/>
        </w:rPr>
        <w:t xml:space="preserve">Trades are executed on the basis of strict </w:t>
      </w:r>
      <w:r>
        <w:rPr>
          <w:rFonts w:cs="Arial" w:ascii="Arial" w:hAnsi="Arial"/>
          <w:color w:val="000000"/>
          <w:u w:val="single"/>
        </w:rPr>
        <w:t>price/time priority</w:t>
      </w:r>
      <w:r>
        <w:rPr>
          <w:rFonts w:cs="Arial" w:ascii="Arial" w:hAnsi="Arial"/>
          <w:color w:val="000000"/>
        </w:rPr>
        <w:t xml:space="preserve"> for up to the quantity disclosed to other users.  Of course, trading conditions set by a user may prevent a transaction.  For instance, if a user sets an “All or None” condition the order may not execute against smaller order(s) and lock or cross other order(s).  It may also execute against what appear to be smaller orders, but which are, in fact, larger orders with “Show Only” conditions attached.  </w:t>
      </w:r>
    </w:p>
    <w:p>
      <w:pPr>
        <w:pStyle w:val="NormalWeb"/>
        <w:spacing w:before="240" w:after="0"/>
        <w:rPr>
          <w:rFonts w:ascii="Arial" w:hAnsi="Arial" w:cs="Arial"/>
        </w:rPr>
      </w:pPr>
      <w:r>
        <w:rPr>
          <w:rFonts w:cs="Arial" w:ascii="Arial" w:hAnsi="Arial"/>
          <w:color w:val="000000"/>
        </w:rPr>
        <w:t>A "Show Only" order (where a large order is entered but only the “show only” quantity is shown to other users) has a time priority in the queue of orders at its price only for the quantity shown to other users.  Later revealed quantity takes its priority in the queue when it is displayed to other users, in the amount in which it is displayed.</w:t>
      </w:r>
    </w:p>
    <w:p>
      <w:pPr>
        <w:pStyle w:val="Normal"/>
        <w:spacing w:before="240" w:after="120"/>
        <w:rPr/>
      </w:pPr>
      <w:r>
        <w:rPr>
          <w:rFonts w:cs="Arial" w:ascii="Arial" w:hAnsi="Arial"/>
        </w:rPr>
        <w:t>For instance, if a user enters an order to buy $1M face amount of a bond at a price of 99 with an All or None condition and a sell order is then entered into the service at a price of 98.95, but it is only for $500,000 face, the book in Bond</w:t>
      </w:r>
      <w:r>
        <w:rPr>
          <w:rFonts w:cs="Arial" w:ascii="Arial" w:hAnsi="Arial"/>
          <w:i/>
        </w:rPr>
        <w:t>Link</w:t>
      </w:r>
      <w:r>
        <w:rPr>
          <w:rFonts w:eastAsia="Symbol" w:cs="Arial" w:ascii="Arial" w:hAnsi="Arial"/>
        </w:rPr>
        <w:t></w:t>
      </w:r>
      <w:r>
        <w:rPr/>
        <w:t xml:space="preserve"> would be:</w:t>
      </w:r>
    </w:p>
    <w:tbl>
      <w:tblPr>
        <w:tblW w:w="5130" w:type="dxa"/>
        <w:jc w:val="start"/>
        <w:tblInd w:w="1818" w:type="dxa"/>
        <w:tblLayout w:type="fixed"/>
        <w:tblCellMar>
          <w:top w:w="0" w:type="dxa"/>
          <w:start w:w="108" w:type="dxa"/>
          <w:bottom w:w="0" w:type="dxa"/>
          <w:end w:w="108" w:type="dxa"/>
        </w:tblCellMar>
      </w:tblPr>
      <w:tblGrid>
        <w:gridCol w:w="2610"/>
        <w:gridCol w:w="2520"/>
      </w:tblGrid>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jc w:val="center"/>
              <w:rPr>
                <w:rFonts w:ascii="Arial" w:hAnsi="Arial" w:cs="Arial"/>
                <w:b/>
              </w:rPr>
            </w:pPr>
            <w:r>
              <w:rPr>
                <w:rFonts w:cs="Arial" w:ascii="Arial" w:hAnsi="Arial"/>
                <w:b/>
              </w:rPr>
              <w:t>BUY</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jc w:val="center"/>
              <w:rPr>
                <w:rFonts w:ascii="Arial" w:hAnsi="Arial" w:cs="Arial"/>
                <w:b/>
              </w:rPr>
            </w:pPr>
            <w:r>
              <w:rPr>
                <w:rFonts w:cs="Arial" w:ascii="Arial" w:hAnsi="Arial"/>
                <w:b/>
              </w:rPr>
              <w:t>SELL</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jc w:val="end"/>
              <w:rPr/>
            </w:pPr>
            <w:r>
              <w:rPr>
                <w:rFonts w:cs="Arial" w:ascii="Arial" w:hAnsi="Arial"/>
                <w:vertAlign w:val="superscript"/>
              </w:rPr>
              <w:t>A</w:t>
            </w:r>
            <w:r>
              <w:rPr>
                <w:rFonts w:cs="Arial" w:ascii="Arial" w:hAnsi="Arial"/>
              </w:rPr>
              <w:t xml:space="preserve">1000  99    </w:t>
            </w:r>
          </w:p>
        </w:tc>
        <w:tc>
          <w:tcPr>
            <w:tcW w:w="252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jc w:val="both"/>
              <w:rPr>
                <w:rFonts w:ascii="Arial" w:hAnsi="Arial" w:cs="Arial"/>
              </w:rPr>
            </w:pPr>
            <w:r>
              <w:rPr>
                <w:rFonts w:cs="Arial" w:ascii="Arial" w:hAnsi="Arial"/>
              </w:rPr>
              <w:t>98.95  500</w:t>
            </w:r>
          </w:p>
        </w:tc>
      </w:tr>
    </w:tbl>
    <w:p>
      <w:pPr>
        <w:pStyle w:val="Normal"/>
        <w:spacing w:before="120" w:after="120"/>
        <w:rPr/>
      </w:pPr>
      <w:r>
        <w:rPr>
          <w:rFonts w:cs="Arial" w:ascii="Arial" w:hAnsi="Arial"/>
        </w:rPr>
        <w:t>If a locked or crossed market occurs, users may still execute a trade by jumping the price queue.  In the example above, if you want to trade with the Seller, you would enter an order to buy at a price in excess of the 99 price bid by the user with the All or None order.  If you place a buy order at a price of 99.00001, you would purchase the 500 bonds at the price of 98.95.  Bond</w:t>
      </w:r>
      <w:r>
        <w:rPr>
          <w:rFonts w:cs="Arial" w:ascii="Arial" w:hAnsi="Arial"/>
          <w:i/>
        </w:rPr>
        <w:t>Link</w:t>
      </w:r>
      <w:r>
        <w:rPr>
          <w:rFonts w:eastAsia="Symbol" w:cs="Symbol" w:ascii="Symbol" w:hAnsi="Symbol"/>
        </w:rPr>
        <w:sym w:font="Symbol" w:char="f0e4"/>
      </w:r>
      <w:r>
        <w:rPr>
          <w:rFonts w:cs="Arial" w:ascii="Arial" w:hAnsi="Arial"/>
        </w:rPr>
        <w:t xml:space="preserve"> always executes orders at the price of the resting order.</w:t>
      </w:r>
    </w:p>
    <w:p>
      <w:pPr>
        <w:pStyle w:val="Normal"/>
        <w:spacing w:before="0" w:after="120"/>
        <w:rPr/>
      </w:pPr>
      <w:r>
        <w:rPr>
          <w:rFonts w:cs="Arial" w:ascii="Arial" w:hAnsi="Arial"/>
        </w:rPr>
        <w:t>Locked and crossed markets can occur as a result of order conditions such as:</w:t>
      </w:r>
    </w:p>
    <w:p>
      <w:pPr>
        <w:pStyle w:val="Normal"/>
        <w:spacing w:before="0" w:after="120"/>
        <w:ind w:start="720" w:end="0"/>
        <w:rPr>
          <w:rFonts w:ascii="Arial" w:hAnsi="Arial" w:cs="Arial"/>
        </w:rPr>
      </w:pPr>
      <w:r>
        <w:rPr>
          <w:rFonts w:cs="Arial" w:ascii="Arial" w:hAnsi="Arial"/>
        </w:rPr>
        <w:t>All or None</w:t>
      </w:r>
    </w:p>
    <w:p>
      <w:pPr>
        <w:pStyle w:val="Normal"/>
        <w:spacing w:before="0" w:after="120"/>
        <w:ind w:start="720" w:end="0"/>
        <w:rPr>
          <w:rFonts w:ascii="Arial" w:hAnsi="Arial" w:cs="Arial"/>
        </w:rPr>
      </w:pPr>
      <w:r>
        <w:rPr>
          <w:rFonts w:cs="Arial" w:ascii="Arial" w:hAnsi="Arial"/>
        </w:rPr>
        <w:t>Minimum Fill</w:t>
      </w:r>
    </w:p>
    <w:p>
      <w:pPr>
        <w:pStyle w:val="Normal"/>
        <w:ind w:start="720" w:end="0"/>
        <w:rPr>
          <w:rFonts w:ascii="Arial" w:hAnsi="Arial" w:cs="Arial"/>
        </w:rPr>
      </w:pPr>
      <w:r>
        <w:rPr>
          <w:rFonts w:cs="Arial" w:ascii="Arial" w:hAnsi="Arial"/>
        </w:rPr>
        <w:t>Lots Of</w:t>
      </w:r>
    </w:p>
    <w:p>
      <w:pPr>
        <w:pStyle w:val="NormalWeb"/>
        <w:spacing w:before="240" w:after="0"/>
        <w:rPr>
          <w:rFonts w:ascii="Arial" w:hAnsi="Arial" w:cs="Arial"/>
        </w:rPr>
      </w:pPr>
      <w:r>
        <w:rPr>
          <w:rFonts w:cs="Arial" w:ascii="Arial" w:hAnsi="Arial"/>
          <w:b/>
          <w:bCs/>
          <w:color w:val="000000"/>
        </w:rPr>
        <w:t>ANY</w:t>
      </w:r>
      <w:r>
        <w:rPr>
          <w:rFonts w:cs="Arial" w:ascii="Arial" w:hAnsi="Arial"/>
          <w:color w:val="000000"/>
        </w:rPr>
        <w:t xml:space="preserve"> modification of an order (such as, quantity, price, time of expiration, Show Only, All or None, Minimum Fill or Lots Of) results in the </w:t>
      </w:r>
      <w:r>
        <w:rPr>
          <w:rFonts w:cs="Arial" w:ascii="Arial" w:hAnsi="Arial"/>
          <w:b/>
          <w:bCs/>
          <w:color w:val="000000"/>
        </w:rPr>
        <w:t>cancellation</w:t>
      </w:r>
      <w:r>
        <w:rPr>
          <w:rFonts w:cs="Arial" w:ascii="Arial" w:hAnsi="Arial"/>
          <w:color w:val="000000"/>
        </w:rPr>
        <w:t xml:space="preserve"> of the resting order, and the entry of a </w:t>
      </w:r>
      <w:r>
        <w:rPr>
          <w:rFonts w:cs="Arial" w:ascii="Arial" w:hAnsi="Arial"/>
          <w:b/>
          <w:bCs/>
          <w:color w:val="000000"/>
        </w:rPr>
        <w:t>new</w:t>
      </w:r>
      <w:r>
        <w:rPr>
          <w:rFonts w:cs="Arial" w:ascii="Arial" w:hAnsi="Arial"/>
          <w:color w:val="000000"/>
        </w:rPr>
        <w:t xml:space="preserve"> order with a new time priority.</w:t>
      </w:r>
    </w:p>
    <w:p>
      <w:pPr>
        <w:pStyle w:val="NormalWeb"/>
        <w:rPr/>
      </w:pPr>
      <w:r>
        <w:rPr>
          <w:rFonts w:cs="Arial" w:ascii="Arial" w:hAnsi="Arial"/>
        </w:rPr>
        <w:t xml:space="preserve">Orders for odd lots may be entered into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Users can avoid trading with such orders by setting "Minimum Fill" and/or "Lots Of" conditions when placing their orders. </w:t>
      </w:r>
    </w:p>
    <w:p>
      <w:pPr>
        <w:pStyle w:val="NormalWeb"/>
        <w:rPr>
          <w:rFonts w:ascii="Arial" w:hAnsi="Arial" w:cs="Arial"/>
        </w:rPr>
      </w:pPr>
      <w:r>
        <w:rPr>
          <w:rFonts w:cs="Arial" w:ascii="Arial" w:hAnsi="Arial"/>
        </w:rPr>
        <w:t xml:space="preserve">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places limits on certain input amounts.  The "Quantity" field in the Buy/Sell order-form must be less than $100,000,000 face amount.  "Show Only" and "Minimum Fill" must be greater than or equal to $100,000 face amount and must be greater than or equal to the "Lots Of" quantity.  The "Lots Of" quantity must be greater than or equal to $10,000 face amount.  In addition, the "Show Only" quantity must be the </w:t>
      </w:r>
      <w:r>
        <w:rPr>
          <w:rFonts w:cs="Arial" w:ascii="Arial" w:hAnsi="Arial"/>
          <w:b/>
          <w:bCs/>
        </w:rPr>
        <w:t>greater</w:t>
      </w:r>
      <w:r>
        <w:rPr>
          <w:rFonts w:cs="Arial" w:ascii="Arial" w:hAnsi="Arial"/>
        </w:rPr>
        <w:t xml:space="preserve"> of $100,000 face amount or 10% of the total quantity of the order.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will ask for confirmation for any order for $10 Million or more face amount.  </w:t>
      </w:r>
    </w:p>
    <w:p>
      <w:pPr>
        <w:pStyle w:val="NormalWeb"/>
        <w:rPr>
          <w:rFonts w:ascii="Arial" w:hAnsi="Arial" w:cs="Arial"/>
        </w:rPr>
      </w:pPr>
      <w:r>
        <w:rPr>
          <w:rFonts w:cs="Arial" w:ascii="Arial" w:hAnsi="Arial"/>
        </w:rPr>
        <w:t xml:space="preserve">When an "All or None" order condition is displayed, a superscript </w:t>
      </w:r>
      <w:r>
        <w:rPr>
          <w:rFonts w:cs="Arial" w:ascii="Arial" w:hAnsi="Arial"/>
          <w:b/>
          <w:bCs/>
          <w:vertAlign w:val="superscript"/>
        </w:rPr>
        <w:t>A</w:t>
      </w:r>
      <w:r>
        <w:rPr>
          <w:rFonts w:cs="Arial" w:ascii="Arial" w:hAnsi="Arial"/>
        </w:rPr>
        <w:t xml:space="preserve"> will be displayed next to that order in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b/>
          <w:bCs/>
          <w:color w:val="FF0000"/>
        </w:rPr>
        <w:t xml:space="preserve"> </w:t>
      </w:r>
      <w:r>
        <w:rPr>
          <w:rFonts w:cs="Arial" w:ascii="Arial" w:hAnsi="Arial"/>
        </w:rPr>
        <w:t xml:space="preserve">Book.  When a "Minimum Fill" order condition is displayed in the Book, a superscript </w:t>
      </w:r>
      <w:r>
        <w:rPr>
          <w:rFonts w:cs="Arial" w:ascii="Arial" w:hAnsi="Arial"/>
          <w:b/>
          <w:bCs/>
          <w:vertAlign w:val="superscript"/>
        </w:rPr>
        <w:t>M</w:t>
      </w:r>
      <w:r>
        <w:rPr>
          <w:rFonts w:cs="Arial" w:ascii="Arial" w:hAnsi="Arial"/>
        </w:rPr>
        <w:t xml:space="preserve"> will be displayed together with the quantity required for the condition to be satisfied.  When a "Lots Of" order condition is displayed in the Book, a superscript </w:t>
      </w:r>
      <w:r>
        <w:rPr>
          <w:rFonts w:cs="Arial" w:ascii="Arial" w:hAnsi="Arial"/>
          <w:b/>
          <w:bCs/>
          <w:vertAlign w:val="superscript"/>
        </w:rPr>
        <w:t>L</w:t>
      </w:r>
      <w:r>
        <w:rPr>
          <w:rFonts w:cs="Arial" w:ascii="Arial" w:hAnsi="Arial"/>
        </w:rPr>
        <w:t xml:space="preserve"> will be displayed together with the quantity required for the condition to be satisfied.  When there are multiple conditions to an order,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will display them in order of priority.</w:t>
      </w:r>
    </w:p>
    <w:p>
      <w:pPr>
        <w:pStyle w:val="NormalWeb"/>
        <w:rPr>
          <w:rFonts w:ascii="Arial" w:hAnsi="Arial" w:cs="Arial"/>
        </w:rPr>
      </w:pPr>
      <w:r>
        <w:rPr>
          <w:rFonts w:cs="Arial" w:ascii="Arial" w:hAnsi="Arial"/>
        </w:rPr>
        <w:t>When a user places an order, he/she will see it displayed in the scrolling ticker and in the Book for the security with a "+" which identifies it as his/her order.  The "+" will not appear on any other user's workstation.</w:t>
      </w:r>
    </w:p>
    <w:p>
      <w:pPr>
        <w:pStyle w:val="NormalWeb"/>
        <w:rPr/>
      </w:pPr>
      <w:r>
        <w:rPr>
          <w:rFonts w:cs="Arial" w:ascii="Arial" w:hAnsi="Arial"/>
        </w:rPr>
        <w:t>You can cancel an order by selecting it from the Order Blotter, or by double clicking on it in the book or on the scrolling ticker display.  Any of these actions will bring up the buy/sell form.  You then press the Cancel Order button and respond in the affirmative to the dialogue box that appears.</w:t>
      </w:r>
    </w:p>
    <w:p>
      <w:pPr>
        <w:pStyle w:val="NormalWeb"/>
        <w:rPr>
          <w:rFonts w:ascii="Arial" w:hAnsi="Arial" w:cs="Arial"/>
        </w:rPr>
      </w:pPr>
      <w:r>
        <w:rPr>
          <w:rFonts w:cs="Arial" w:ascii="Arial" w:hAnsi="Arial"/>
        </w:rPr>
        <w:t>All working orders of a user are cancelled when he/she exits the service or the service determines that the user has lost his/her connection to the service.  All orders are also cancelled when trading closes, or if the service experiences a service-wide interruption</w:t>
      </w:r>
    </w:p>
    <w:p>
      <w:pPr>
        <w:pStyle w:val="NormalWeb"/>
        <w:rPr>
          <w:rFonts w:ascii="Arial" w:hAnsi="Arial" w:cs="Arial"/>
        </w:rPr>
      </w:pPr>
      <w:r>
        <w:rPr>
          <w:rFonts w:cs="Arial" w:ascii="Arial" w:hAnsi="Arial"/>
        </w:rPr>
        <w:t>All trades are executed by Trading Edge, Inc. on a riskless principal basis, with markups/markdowns disclosed.  Users will see the transaction price, net price and net yield to maturity, as well as the net settlement monies, before they enter their orders.</w:t>
      </w:r>
    </w:p>
    <w:p>
      <w:pPr>
        <w:pStyle w:val="NormalWeb"/>
        <w:rPr>
          <w:rFonts w:ascii="Arial" w:hAnsi="Arial" w:cs="Arial"/>
        </w:rPr>
      </w:pPr>
      <w:r>
        <w:rPr>
          <w:rFonts w:cs="Arial" w:ascii="Arial" w:hAnsi="Arial"/>
        </w:rPr>
        <w:t xml:space="preserve">The net price equals the transaction price, net of markup/markdown.  </w:t>
      </w:r>
    </w:p>
    <w:p>
      <w:pPr>
        <w:pStyle w:val="NormalWeb"/>
        <w:rPr>
          <w:rFonts w:ascii="Arial" w:hAnsi="Arial" w:cs="Arial"/>
        </w:rPr>
      </w:pPr>
      <w:r>
        <w:rPr>
          <w:rFonts w:cs="Arial" w:ascii="Arial" w:hAnsi="Arial"/>
        </w:rPr>
        <w:t xml:space="preserve">Trading Edge, Inc. </w:t>
      </w:r>
      <w:r>
        <w:rPr>
          <w:rFonts w:cs="Arial" w:ascii="Arial" w:hAnsi="Arial"/>
          <w:b/>
          <w:bCs/>
          <w:color w:val="FF0000"/>
        </w:rPr>
        <w:t>NEVER</w:t>
      </w:r>
      <w:r>
        <w:rPr>
          <w:rFonts w:cs="Arial" w:ascii="Arial" w:hAnsi="Arial"/>
        </w:rPr>
        <w:t xml:space="preserve"> trades for its own account and risk in the sense that it maintains an inventory or acts as a market maker or dealer trading its portfolio.  (Of course, a “fail” may leave Trading Edge with a brief position.)</w:t>
      </w:r>
    </w:p>
    <w:p>
      <w:pPr>
        <w:pStyle w:val="NormalWeb"/>
        <w:rPr>
          <w:rFonts w:ascii="Arial" w:hAnsi="Arial" w:cs="Arial"/>
        </w:rPr>
      </w:pPr>
      <w:r>
        <w:rPr>
          <w:rFonts w:cs="Arial" w:ascii="Arial" w:hAnsi="Arial"/>
        </w:rPr>
        <w:t xml:space="preserve">Trading Edge, Inc. may suspend trading in any individual security during the trading day.  This may occur when Trading Edge determines that the trading conventions of a security have changed or when market conditions otherwise require. </w:t>
      </w:r>
    </w:p>
    <w:p>
      <w:pPr>
        <w:pStyle w:val="NormalWeb"/>
        <w:rPr/>
      </w:pPr>
      <w:r>
        <w:rPr>
          <w:rFonts w:cs="Arial" w:ascii="Arial" w:hAnsi="Arial"/>
        </w:rPr>
        <w:t xml:space="preserve">Trading Edge obtains security master data from vendors and cannot, therefore, verify its accuracy or completeness.  Trading Edge will seek to determine the trading conventions of securities traded on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such as, "Buyer keeps coupon, Seller keeps rights, Flat", etc.  If a security is subject to any such conditions, those conditions will be disclosed on the order form and all orders/trades will be subject to such conventions.  This information is provided by third parties and is not independently verified by Trading Edge.  In the unlikely event that such conditions are changed during a trading day, all outstanding orders will first be cancelled, and participants will then be required to re-enter their orders, subject to the new conditions should they so desire.</w:t>
      </w:r>
    </w:p>
    <w:p>
      <w:pPr>
        <w:pStyle w:val="NormalWeb"/>
        <w:rPr/>
      </w:pPr>
      <w:r>
        <w:rPr>
          <w:rFonts w:cs="Arial" w:ascii="Arial" w:hAnsi="Arial"/>
        </w:rPr>
        <w:t xml:space="preserve">All transactions executed through Trading Edge's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will be cleared and settled through clearing agents and firms such as Schroder and Wexford and Euroclear.  In certain instruments, industry facilities such as NSCC and DTC may be involved.  </w:t>
      </w:r>
    </w:p>
    <w:p>
      <w:pPr>
        <w:pStyle w:val="NormalWeb"/>
        <w:rPr/>
      </w:pPr>
      <w:r>
        <w:rPr>
          <w:rFonts w:cs="Arial" w:ascii="Arial" w:hAnsi="Arial"/>
        </w:rPr>
        <w:t xml:space="preserve">Pursuant to SEC Rule 144A, unless participants have established at least one account as a "Qualified Institutional Buyer" with Trading Edge,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will not permit the participant to enter an order to purchase a security that is subject to that rule.  Purchases of securities that are subject to Rule 144A may only be allocated to the account of a "Qualified Institutional Buyer".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b/>
          <w:bCs/>
          <w:color w:val="FF0000"/>
        </w:rPr>
        <w:t xml:space="preserve"> </w:t>
      </w:r>
      <w:r>
        <w:rPr>
          <w:rFonts w:cs="Arial" w:ascii="Arial" w:hAnsi="Arial"/>
        </w:rPr>
        <w:t xml:space="preserve">service displays a dialog box upon the placement of an order to purchase such a security reminding the buyer of that requirement.  </w:t>
      </w:r>
    </w:p>
    <w:p>
      <w:pPr>
        <w:pStyle w:val="NormalWeb"/>
        <w:rPr>
          <w:rFonts w:ascii="Arial" w:hAnsi="Arial" w:cs="Arial"/>
        </w:rPr>
      </w:pPr>
      <w:r>
        <w:rPr>
          <w:rFonts w:cs="Arial" w:ascii="Arial" w:hAnsi="Arial"/>
        </w:rPr>
        <w:t xml:space="preserve">A user who is placing an order to sell a security subject to Regulation S is reminded by a dialog box that the order must be placed in accordance with the terms of that Regulation.  </w:t>
      </w:r>
    </w:p>
    <w:p>
      <w:pPr>
        <w:pStyle w:val="NormalWeb"/>
        <w:rPr>
          <w:rFonts w:ascii="Arial" w:hAnsi="Arial" w:cs="Arial"/>
        </w:rPr>
      </w:pPr>
      <w:r>
        <w:rPr>
          <w:rFonts w:cs="Arial" w:ascii="Arial" w:hAnsi="Arial"/>
        </w:rPr>
        <w:t xml:space="preserve">Users are expected to allocate all trades within 45 minutes after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closes for trading.  </w:t>
      </w:r>
    </w:p>
    <w:p>
      <w:pPr>
        <w:pStyle w:val="NormalWeb"/>
        <w:rPr>
          <w:rFonts w:ascii="Arial" w:hAnsi="Arial" w:cs="Arial"/>
        </w:rPr>
      </w:pPr>
      <w:r>
        <w:rPr>
          <w:rFonts w:cs="Arial" w:ascii="Arial" w:hAnsi="Arial"/>
        </w:rPr>
        <w:t xml:space="preserve">Once the user allocates a trade or average prices two or more trades, he/she CANNOT change the allocation or average price in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The user must contact the Trading Edge Help Desk to obtain the change, which will be made only with the consent of the clearing firms.  These changes will NOT be reflected in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b/>
          <w:bCs/>
          <w:color w:val="FF0000"/>
        </w:rPr>
        <w:t xml:space="preserve"> </w:t>
      </w:r>
      <w:r>
        <w:rPr>
          <w:rFonts w:cs="Arial" w:ascii="Arial" w:hAnsi="Arial"/>
        </w:rPr>
        <w:t>database.</w:t>
      </w:r>
    </w:p>
    <w:p>
      <w:pPr>
        <w:pStyle w:val="NormalWeb"/>
        <w:rPr>
          <w:rFonts w:ascii="Arial" w:hAnsi="Arial" w:cs="Arial"/>
        </w:rPr>
      </w:pPr>
      <w:r>
        <w:rPr>
          <w:rFonts w:cs="Arial" w:ascii="Arial" w:hAnsi="Arial"/>
        </w:rPr>
        <w:t xml:space="preserve">Users are required to keep their passwords confidential and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b/>
          <w:bCs/>
          <w:color w:val="FF0000"/>
        </w:rPr>
        <w:t xml:space="preserve"> </w:t>
      </w:r>
      <w:r>
        <w:rPr>
          <w:rFonts w:cs="Arial" w:ascii="Arial" w:hAnsi="Arial"/>
        </w:rPr>
        <w:t xml:space="preserve">service requires that passwords be changed every 30 days. </w:t>
      </w:r>
    </w:p>
    <w:p>
      <w:pPr>
        <w:pStyle w:val="NormalWeb"/>
        <w:rPr/>
      </w:pPr>
      <w:r>
        <w:rPr>
          <w:rFonts w:cs="Arial" w:ascii="Arial" w:hAnsi="Arial"/>
        </w:rPr>
        <w:t xml:space="preserve">Trading hours are from 7 a.m. to 5 p.m. Eastern time.  Users will be notified if trading hours are changed.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color w:val="FF0000"/>
        </w:rPr>
        <w:t xml:space="preserve"> service </w:t>
      </w:r>
      <w:r>
        <w:rPr>
          <w:rFonts w:cs="Arial" w:ascii="Arial" w:hAnsi="Arial"/>
        </w:rPr>
        <w:t xml:space="preserve">will not be open for trading on all NASD-designated holidays.  </w:t>
      </w:r>
    </w:p>
    <w:p>
      <w:pPr>
        <w:pStyle w:val="NormalWeb"/>
        <w:rPr/>
      </w:pPr>
      <w:r>
        <w:rPr>
          <w:rFonts w:cs="Arial" w:ascii="Arial" w:hAnsi="Arial"/>
        </w:rPr>
        <w:t xml:space="preserve">Trading Edge, Inc.'s staff is available one half hour before the opening of trading until one hour after trading closes.  We stand ready to assist you in your use of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service and to help build liquidity in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rPr>
        <w:t xml:space="preserve"> in order to make it an important tool in your trading activity. </w:t>
      </w:r>
    </w:p>
    <w:p>
      <w:pPr>
        <w:pStyle w:val="NormalWeb"/>
        <w:rPr>
          <w:rFonts w:ascii="Arial" w:hAnsi="Arial" w:cs="Arial"/>
        </w:rPr>
      </w:pPr>
      <w:r>
        <w:rPr>
          <w:rFonts w:cs="Arial" w:ascii="Arial" w:hAnsi="Arial"/>
        </w:rPr>
        <w:t xml:space="preserve">For assistance, we can be reached at our toll free number: </w:t>
      </w:r>
      <w:r>
        <w:rPr>
          <w:rFonts w:cs="Arial" w:ascii="Arial" w:hAnsi="Arial"/>
          <w:b/>
          <w:bCs/>
        </w:rPr>
        <w:t>1-877-314-2244</w:t>
      </w:r>
      <w:r>
        <w:rPr>
          <w:rFonts w:cs="Arial" w:ascii="Arial" w:hAnsi="Arial"/>
          <w:i/>
          <w:iCs/>
        </w:rPr>
        <w:t xml:space="preserve">. </w:t>
      </w:r>
    </w:p>
    <w:p>
      <w:pPr>
        <w:pStyle w:val="NormalWeb"/>
        <w:rPr/>
      </w:pPr>
      <w:r>
        <w:rPr>
          <w:rFonts w:cs="Arial" w:ascii="Arial" w:hAnsi="Arial"/>
          <w:b/>
          <w:bCs/>
          <w:i/>
          <w:iCs/>
        </w:rPr>
        <w:t xml:space="preserve">Since most bond markets have no mechanism that can provide reference prices for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b/>
          <w:bCs/>
          <w:i/>
          <w:iCs/>
        </w:rPr>
        <w:t xml:space="preserve"> service, all users </w:t>
      </w:r>
      <w:r>
        <w:rPr>
          <w:rFonts w:cs="Arial" w:ascii="Arial" w:hAnsi="Arial"/>
          <w:b/>
          <w:bCs/>
          <w:i/>
          <w:iCs/>
          <w:color w:val="FF0000"/>
        </w:rPr>
        <w:t>must</w:t>
      </w:r>
      <w:r>
        <w:rPr>
          <w:rFonts w:cs="Arial" w:ascii="Arial" w:hAnsi="Arial"/>
          <w:b/>
          <w:bCs/>
          <w:i/>
          <w:iCs/>
        </w:rPr>
        <w:t xml:space="preserve"> read the order entry dialogue box to assure that all the particulars of orders they are placing in the service are correct.  If an order placed on the service is manifestly in error, it is in everyone's best interest to advise the Trading Edge staff, who can then notify the user on the other side of the trade.  Trading Edge expects that other users will not trade against orders that are significantly off the market.  The </w:t>
      </w:r>
      <w:r>
        <w:rPr>
          <w:rFonts w:cs="Arial" w:ascii="Arial" w:hAnsi="Arial"/>
          <w:b/>
          <w:bCs/>
        </w:rPr>
        <w:t>Bond</w:t>
      </w:r>
      <w:r>
        <w:rPr>
          <w:rFonts w:cs="Arial" w:ascii="Arial" w:hAnsi="Arial"/>
          <w:b/>
          <w:bCs/>
          <w:i/>
          <w:iCs/>
          <w:color w:val="FF0000"/>
        </w:rPr>
        <w:t>Link</w:t>
      </w:r>
      <w:r>
        <w:rPr>
          <w:rFonts w:eastAsia="Symbol" w:cs="Symbol" w:ascii="Symbol" w:hAnsi="Symbol"/>
          <w:b/>
          <w:bCs/>
          <w:color w:val="FF0000"/>
        </w:rPr>
        <w:sym w:font="Symbol" w:char="f0d4"/>
      </w:r>
      <w:r>
        <w:rPr>
          <w:rFonts w:cs="Arial" w:ascii="Arial" w:hAnsi="Arial"/>
          <w:b/>
          <w:bCs/>
          <w:i/>
          <w:iCs/>
        </w:rPr>
        <w:t xml:space="preserve"> service has been designed to minimize errors in order entry.  Users must carefully review the order entry dialogue box to assure that the order about to be entered is accurate.  Nevertheless, it is </w:t>
      </w:r>
      <w:r>
        <w:rPr>
          <w:rFonts w:cs="Arial" w:ascii="Arial" w:hAnsi="Arial"/>
          <w:b/>
          <w:bCs/>
          <w:i/>
          <w:iCs/>
          <w:color w:val="FF0000"/>
        </w:rPr>
        <w:t>NOT</w:t>
      </w:r>
      <w:r>
        <w:rPr>
          <w:rFonts w:cs="Arial" w:ascii="Arial" w:hAnsi="Arial"/>
          <w:b/>
          <w:bCs/>
          <w:i/>
          <w:iCs/>
        </w:rPr>
        <w:t xml:space="preserve"> Trading Edge's responsibility to assure that orders are entered accurately or that trades are not made in error.  At the request of a user, Trading Edge will contact the counter-party if an order with an error is entered and executed.  However, no guarantee can be made that the counter-party will agree to any changes.  Users must settle all transactions resulting from orders entered under an id and password assigned to them.</w:t>
      </w:r>
    </w:p>
    <w:p>
      <w:pPr>
        <w:pStyle w:val="NormalWeb"/>
        <w:spacing w:before="720" w:after="0"/>
        <w:rPr>
          <w:rFonts w:ascii="Arial" w:hAnsi="Arial" w:cs="Arial"/>
        </w:rPr>
      </w:pPr>
      <w:r>
        <w:rPr>
          <w:rFonts w:cs="Arial" w:ascii="Arial" w:hAnsi="Arial"/>
        </w:rPr>
        <w:t>Portions of the information in the Bond</w:t>
      </w:r>
      <w:r>
        <w:rPr>
          <w:rFonts w:cs="Arial" w:ascii="Arial" w:hAnsi="Arial"/>
          <w:i/>
          <w:iCs/>
        </w:rPr>
        <w:t>Link</w:t>
      </w:r>
      <w:r>
        <w:rPr>
          <w:rFonts w:cs="Arial" w:ascii="Arial" w:hAnsi="Arial"/>
        </w:rPr>
        <w:t xml:space="preserve"> service and the service itself are supplied by third parties such as those listed below.  The following provisions are included by request and for the benefit of those suppliers.  </w:t>
      </w:r>
    </w:p>
    <w:p>
      <w:pPr>
        <w:pStyle w:val="Normal"/>
        <w:widowControl w:val="false"/>
        <w:tabs>
          <w:tab w:val="clear" w:pos="720"/>
          <w:tab w:val="left" w:pos="972" w:leader="none"/>
          <w:tab w:val="left" w:pos="1692" w:leader="none"/>
          <w:tab w:val="left" w:pos="2160" w:leader="none"/>
          <w:tab w:val="left" w:pos="2412" w:leader="none"/>
          <w:tab w:val="left" w:pos="2880" w:leader="none"/>
        </w:tabs>
        <w:spacing w:before="240" w:after="0"/>
        <w:ind w:firstLine="979" w:end="0"/>
        <w:rPr/>
      </w:pPr>
      <w:r>
        <w:rPr>
          <w:rFonts w:cs="Arial" w:ascii="Arial" w:hAnsi="Arial"/>
        </w:rPr>
        <w:t>1.</w:t>
        <w:tab/>
      </w:r>
      <w:r>
        <w:rPr>
          <w:rFonts w:cs="Arial" w:ascii="Arial" w:hAnsi="Arial"/>
          <w:u w:val="single"/>
        </w:rPr>
        <w:t>TIPS Agreement</w:t>
      </w:r>
      <w:r>
        <w:rPr>
          <w:rFonts w:cs="Arial" w:ascii="Arial" w:hAnsi="Arial"/>
        </w:rPr>
        <w:t>.</w:t>
      </w:r>
    </w:p>
    <w:p>
      <w:pPr>
        <w:pStyle w:val="Normal"/>
        <w:spacing w:before="240" w:after="0"/>
        <w:ind w:firstLine="720" w:end="0"/>
        <w:rPr/>
      </w:pPr>
      <w:r>
        <w:rPr>
          <w:rFonts w:cs="Arial" w:ascii="Arial" w:hAnsi="Arial"/>
        </w:rPr>
        <w:t>This Agreement governs your access to the Trading Edge Bond</w:t>
      </w:r>
      <w:r>
        <w:rPr>
          <w:rFonts w:cs="Arial" w:ascii="Arial" w:hAnsi="Arial"/>
          <w:i/>
          <w:iCs/>
        </w:rPr>
        <w:t>Link</w:t>
      </w:r>
      <w:r>
        <w:rPr>
          <w:rFonts w:eastAsia="Symbol" w:cs="Symbol" w:ascii="Symbol" w:hAnsi="Symbol"/>
          <w:i/>
          <w:iCs/>
        </w:rPr>
        <w:sym w:font="Symbol" w:char="f0d4"/>
      </w:r>
      <w:r>
        <w:rPr>
          <w:rFonts w:cs="Arial" w:ascii="Arial" w:hAnsi="Arial"/>
        </w:rPr>
        <w:t xml:space="preserve"> System and is legally binding.  By indicating your acceptance below, you confirm that you have read this agreement and agree to all of the terms contained herein.  If you do not accept and agree to everything contained in this agreement, do not continue to use Trading Edge, Inc.’s Bond</w:t>
      </w:r>
      <w:r>
        <w:rPr>
          <w:rFonts w:cs="Arial" w:ascii="Arial" w:hAnsi="Arial"/>
          <w:i/>
          <w:iCs/>
        </w:rPr>
        <w:t>Link</w:t>
      </w:r>
      <w:r>
        <w:rPr>
          <w:rFonts w:eastAsia="Symbol" w:cs="Symbol" w:ascii="Symbol" w:hAnsi="Symbol"/>
          <w:i/>
          <w:iCs/>
        </w:rPr>
        <w:sym w:font="Symbol" w:char="f0d4"/>
      </w:r>
      <w:r>
        <w:rPr>
          <w:rFonts w:cs="Arial" w:ascii="Arial" w:hAnsi="Arial"/>
          <w:i/>
          <w:iCs/>
        </w:rPr>
        <w:t xml:space="preserve"> </w:t>
      </w:r>
      <w:r>
        <w:rPr>
          <w:rFonts w:cs="Arial" w:ascii="Arial" w:hAnsi="Arial"/>
        </w:rPr>
        <w:t xml:space="preserve">Service.  YOUR CONTINUED USE OF THIS SYSTEM INDICATES YOUR ACCEPTANCE OF AND AGREEMENT TO THE FOLLOWING TERMS AND CONDITIONS:  </w:t>
      </w:r>
    </w:p>
    <w:p>
      <w:pPr>
        <w:pStyle w:val="Normal"/>
        <w:spacing w:before="240" w:after="0"/>
        <w:ind w:firstLine="720" w:end="0"/>
        <w:rPr/>
      </w:pPr>
      <w:r>
        <w:rPr>
          <w:rFonts w:cs="Arial" w:ascii="Arial" w:hAnsi="Arial"/>
        </w:rPr>
        <w:t>TRADING EDGE MAY USE THIRD PARTY SUPPLIERS FOR SOME OF THE SOFTWARE THAT IT PROVIDES (“THIRD PARTY PROVIDERS”).  TRADING EDGE, ON BEHALF OF ITSELF AND ANY SUCH THIRD PARTY PROVIDERS, SPECIFICALLY DISCLAIMS ALL WARRANTIES, EXPRESS OR IMPLIED, INCLUDING ANY IMPLIED WARRANTY OF MERCHANTABILITY OR FITNESS FOR A PARTICULAR PURPOSE WITH RESPECT TO THE INFORMATION AND PROGRAMS AVAILABLE ON THIS ONLINE SYSTEM.  YOU USE INFORMATION AND/OR PROGRAMS WHICH ARE AVAILABLE ON THIS ONLINE SYSTEM AT YOUR OWN RISK.  THE INFORMATION AND PROGRAMS AVAILABLE ON THIS ONLINE SYSTEM ARE PROVIDE “AS IS”.  YOU AGREE THAT YOUR SOLE RECOURSE SHALL BE AGAINST TRADING EDGE AND THAT YOU SHALL HAVE NO RECOURSE OR CLAIM AGAINST THIRD PARTY PROVIDERS BASED ON YOUR USE OF TRADING EDGE, INC.’S BOND</w:t>
      </w:r>
      <w:r>
        <w:rPr>
          <w:rFonts w:cs="Arial" w:ascii="Arial" w:hAnsi="Arial"/>
          <w:i/>
          <w:iCs/>
        </w:rPr>
        <w:t>LINK</w:t>
      </w:r>
      <w:r>
        <w:rPr>
          <w:rFonts w:eastAsia="Symbol" w:cs="Symbol" w:ascii="Symbol" w:hAnsi="Symbol"/>
          <w:i/>
          <w:iCs/>
        </w:rPr>
        <w:sym w:font="Symbol" w:char="f0d4"/>
      </w:r>
      <w:r>
        <w:rPr>
          <w:rFonts w:cs="Arial" w:ascii="Arial" w:hAnsi="Arial"/>
        </w:rPr>
        <w:t xml:space="preserve"> SERVICE.</w:t>
      </w:r>
    </w:p>
    <w:p>
      <w:pPr>
        <w:pStyle w:val="Normal"/>
        <w:spacing w:before="240" w:after="0"/>
        <w:ind w:firstLine="720" w:end="0"/>
        <w:rPr/>
      </w:pPr>
      <w:r>
        <w:rPr>
          <w:rFonts w:cs="Arial" w:ascii="Arial" w:hAnsi="Arial"/>
        </w:rPr>
        <w:t xml:space="preserve">IN NO EVENT, WHETHER BASED IN CONTRACT, TORT OR OTHERWISE, WILL TRADING EDGE OR THIRD PARTY PROVIDERS BE LIABLE FOR YOUR INABILITY TO ACCESS THE SYSTEM OR FOR ANY SPECIAL, DIRECT, INDIRECT, INCIDENTAL, CONSEQUENTIAL, EXEMPLARY AND/OR PUNITIVE DAMAGES YOU SUFFER, INCLUDING BUT NOT LIMITED TO DAMAGES FOR LOSS OF PROFITS OR REVENUES, DESTRUCTION OF DATA, FAILURE TO REALIZE EXPECTED SAVINGS, BUSINESS INTERRUPTION, LOSS OF USE OR LACK OF AVAILABILITY OF FACILITIES, INCLUDING COMPUTER RESOURCES AND ANY STORED DATA, AND DAMAGE TO YOUR EQUIPMENT, EVEN IF SUCH DAMAGE IS CAUSED BY MISTAKE, OMISSION, WILLFUL ACTION, INTERRUPTION, DELETION OF FILES AND/OR MESSAGES, ERRORS, DEFECTS, DELAYS IN OPERATION OR TRANSMISSION, FAILURE OF EQUIPMENT AND/OR PERFORMANCE.  </w:t>
      </w:r>
    </w:p>
    <w:p>
      <w:pPr>
        <w:pStyle w:val="Normal"/>
        <w:spacing w:before="240" w:after="0"/>
        <w:ind w:firstLine="720" w:end="0"/>
        <w:rPr/>
      </w:pPr>
      <w:r>
        <w:rPr>
          <w:rFonts w:cs="Arial" w:ascii="Arial" w:hAnsi="Arial"/>
        </w:rPr>
        <w:t>YOU AGREE TO INDEMNIFY THIRD PARTY PROVIDERS AND TO HOLD THIRD PARTY PROVIDERS HARMLESS FROM AND AGAINST ANY CLAIM ARISING FROM YOUR USE OF TRADING EDGE Bond</w:t>
      </w:r>
      <w:r>
        <w:rPr>
          <w:rFonts w:cs="Arial" w:ascii="Arial" w:hAnsi="Arial"/>
          <w:i/>
          <w:iCs/>
        </w:rPr>
        <w:t>Link</w:t>
      </w:r>
      <w:r>
        <w:rPr>
          <w:rFonts w:eastAsia="Symbol" w:cs="Symbol" w:ascii="Symbol" w:hAnsi="Symbol"/>
          <w:i/>
          <w:iCs/>
        </w:rPr>
        <w:sym w:font="Symbol" w:char="f0d4"/>
      </w:r>
      <w:r>
        <w:rPr>
          <w:rFonts w:cs="Arial" w:ascii="Arial" w:hAnsi="Arial"/>
        </w:rPr>
        <w:t xml:space="preserve"> SERVICE WHICH CAUSES DAMAGE TO ANY THIRD PARTY.</w:t>
      </w:r>
    </w:p>
    <w:p>
      <w:pPr>
        <w:pStyle w:val="Normal"/>
        <w:spacing w:before="240" w:after="0"/>
        <w:ind w:firstLine="720" w:end="0"/>
        <w:rPr/>
      </w:pPr>
      <w:r>
        <w:rPr>
          <w:rFonts w:cs="Arial" w:ascii="Arial" w:hAnsi="Arial"/>
        </w:rPr>
        <w:t>By using the TRADING EDGE Bond</w:t>
      </w:r>
      <w:r>
        <w:rPr>
          <w:rFonts w:cs="Arial" w:ascii="Arial" w:hAnsi="Arial"/>
          <w:i/>
          <w:iCs/>
        </w:rPr>
        <w:t>Link</w:t>
      </w:r>
      <w:r>
        <w:rPr>
          <w:rFonts w:eastAsia="Symbol" w:cs="Symbol" w:ascii="Symbol" w:hAnsi="Symbol"/>
          <w:i/>
          <w:iCs/>
        </w:rPr>
        <w:sym w:font="Symbol" w:char="f0d4"/>
      </w:r>
      <w:r>
        <w:rPr>
          <w:rFonts w:cs="Arial" w:ascii="Arial" w:hAnsi="Arial"/>
        </w:rPr>
        <w:t xml:space="preserve"> Service you acknowledge that you have read, understand and agree to all of the above provisions, including the disclaimer of warranties, disclaimer of damages and indemnification.</w:t>
      </w:r>
    </w:p>
    <w:p>
      <w:pPr>
        <w:pStyle w:val="Normal"/>
        <w:widowControl w:val="false"/>
        <w:tabs>
          <w:tab w:val="clear" w:pos="720"/>
          <w:tab w:val="left" w:pos="972" w:leader="none"/>
          <w:tab w:val="left" w:pos="1692" w:leader="none"/>
          <w:tab w:val="left" w:pos="2160" w:leader="none"/>
          <w:tab w:val="left" w:pos="2412" w:leader="none"/>
          <w:tab w:val="left" w:pos="2880" w:leader="none"/>
        </w:tabs>
        <w:spacing w:before="240" w:after="0"/>
        <w:ind w:firstLine="979" w:end="0"/>
        <w:rPr>
          <w:rFonts w:ascii="Arial" w:hAnsi="Arial" w:cs="Arial"/>
          <w:u w:val="single"/>
        </w:rPr>
      </w:pPr>
      <w:r>
        <w:rPr>
          <w:rFonts w:cs="Arial" w:ascii="Arial" w:hAnsi="Arial"/>
        </w:rPr>
        <w:t>2.</w:t>
        <w:tab/>
      </w:r>
      <w:r>
        <w:rPr>
          <w:rFonts w:cs="Arial" w:ascii="Arial" w:hAnsi="Arial"/>
          <w:u w:val="single"/>
        </w:rPr>
        <w:t>Standard &amp; Poor’s/J.J. Kenny Co., Inc. – KENNYBASE DATABASE SERVICE</w:t>
      </w:r>
      <w:r>
        <w:rPr>
          <w:rFonts w:cs="Arial" w:ascii="Arial" w:hAnsi="Arial"/>
        </w:rPr>
        <w:t>.</w:t>
      </w:r>
    </w:p>
    <w:p>
      <w:pPr>
        <w:pStyle w:val="NormalWeb"/>
        <w:rPr>
          <w:rFonts w:ascii="Arial" w:hAnsi="Arial" w:cs="Arial"/>
        </w:rPr>
      </w:pPr>
      <w:r>
        <w:rPr>
          <w:rFonts w:cs="Arial" w:ascii="Arial" w:hAnsi="Arial"/>
        </w:rPr>
        <w:t xml:space="preserve">The information included in KENNYBASE DATABASE SERVICES is the property of Standard &amp; Poor’s/J.J. Kenny Co., Inc. or its licensors.  Copyright 2000 J.J. Kenny &amp; Co., Inc., a subsidiary of The McGraw Hill Companies, Inc. ("S&amp;P").  </w:t>
      </w:r>
    </w:p>
    <w:p>
      <w:pPr>
        <w:pStyle w:val="NormalWeb"/>
        <w:rPr>
          <w:rFonts w:ascii="Arial" w:hAnsi="Arial" w:cs="Arial"/>
        </w:rPr>
      </w:pPr>
      <w:r>
        <w:rPr>
          <w:rFonts w:cs="Arial" w:ascii="Arial" w:hAnsi="Arial"/>
        </w:rPr>
        <w:t>Reproduction of KENNYBASE DATABASE SERVICE in any form is prohibited except with the written permission of S&amp;P, which permission has been granted to Trading Edge, Inc. under separate agreement.  That permission is limited to the uses made and permitted by the Bond</w:t>
      </w:r>
      <w:r>
        <w:rPr>
          <w:rFonts w:cs="Arial" w:ascii="Arial" w:hAnsi="Arial"/>
          <w:i/>
          <w:iCs/>
        </w:rPr>
        <w:t>Link</w:t>
      </w:r>
      <w:r>
        <w:rPr>
          <w:rFonts w:cs="Arial" w:ascii="Arial" w:hAnsi="Arial"/>
        </w:rPr>
        <w:t xml:space="preserve"> service as described in that separate agreement.  </w:t>
      </w:r>
    </w:p>
    <w:p>
      <w:pPr>
        <w:pStyle w:val="NormalWeb"/>
        <w:spacing w:before="280" w:after="280"/>
        <w:rPr/>
      </w:pPr>
      <w:r>
        <w:rPr>
          <w:rFonts w:cs="Arial" w:ascii="Arial" w:hAnsi="Arial"/>
        </w:rPr>
        <w:t>Data has been obtained by sources believed to be reliable, however because of the possibility of human or mechanical error by S&amp;P's sources, S&amp;P does not guarantee the accuracy, adequacy, completeness or availability of any information and is not responsible for any delays, errors or omissions or for the results obtained from the use of such information.  S&amp;P GIVES NO EXPRESS OR IMPLIED WARRANTIES, INCLUDING, BUT NOT LIMITED TO, ANY IMPLIED WARRANTIES OF MERCHANTABILITY OR FITNESS FOR A PARTICULAR PURPOSE OR USE.  In no event shall S&amp;P be liable for any direct, indirect, special or consequential damages in connection with use of KENNYBASE DATABASE SERVICES.  The use of KENNYBASE DATABASE SERVICES constitutes acknowledgement and acceptance of the terms and conditions of the agreement with Trading Edge limiting use to that permitted by Bond</w:t>
      </w:r>
      <w:r>
        <w:rPr>
          <w:rFonts w:cs="Arial" w:ascii="Arial" w:hAnsi="Arial"/>
          <w:i/>
          <w:iCs/>
        </w:rPr>
        <w:t>Link</w:t>
      </w:r>
      <w:r>
        <w:rPr>
          <w:rFonts w:cs="Arial" w:ascii="Arial" w:hAnsi="Arial"/>
        </w:rPr>
        <w:t>, including applicable restrictions on use and reproduction or retransmission of the data in any other form.</w:t>
      </w:r>
    </w:p>
    <w:sectPr>
      <w:headerReference w:type="default" r:id="rId10"/>
      <w:headerReference w:type="first" r:id="rId11"/>
      <w:footerReference w:type="default" r:id="rId12"/>
      <w:footerReference w:type="first" r:id="rId13"/>
      <w:type w:val="nextPage"/>
      <w:pgSz w:w="12240" w:h="15840"/>
      <w:pgMar w:left="1440" w:right="1440" w:gutter="0" w:header="1152" w:top="2160" w:footer="28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NewRoman">
    <w:charset w:val="00" w:characterSet="windows-1252"/>
    <w:family w:val="roman"/>
    <w:pitch w:val="default"/>
  </w:font>
  <w:font w:name="CG Times">
    <w:charset w:val="00" w:characterSet="windows-1252"/>
    <w:family w:val="roman"/>
    <w:pitch w:val="variable"/>
  </w:font>
  <w:font w:name="Symbol">
    <w:altName w:val="Italic"/>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/mnt/main-storage/datasets/enron-docs/doc/enrside4_1.doc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keepNext w:val="false"/>
      <w:tabs>
        <w:tab w:val="clear" w:pos="720"/>
        <w:tab w:val="left" w:pos="0" w:leader="none"/>
      </w:tabs>
      <w:spacing w:before="240" w:after="0"/>
      <w:ind w:hanging="0" w:start="0"/>
      <w:rPr/>
    </w:pPr>
    <w:r>
      <w:rPr/>
      <w:tab/>
      <w:tab/>
      <w:tab/>
      <w:t>Copyright 1999, 2000 Trading Edge, Inc. All Rights Reserved</w:t>
    </w:r>
  </w:p>
  <w:p>
    <w:pPr>
      <w:pStyle w:val="BodyTextIndent"/>
      <w:spacing w:before="0" w:after="240"/>
      <w:ind w:start="0" w:end="0"/>
      <w:jc w:val="end"/>
      <w:rPr>
        <w:sz w:val="16"/>
      </w:rPr>
    </w:pPr>
    <w:r>
      <w:rPr>
        <w:sz w:val="16"/>
      </w:rPr>
      <w:t>Do not distribute without written consent of Trading Edge, Inc.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/mnt/main-storage/datasets/enron-docs/doc/enrside4_1.doc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keepNext w:val="false"/>
      <w:tabs>
        <w:tab w:val="clear" w:pos="720"/>
        <w:tab w:val="left" w:pos="0" w:leader="none"/>
      </w:tabs>
      <w:spacing w:before="240" w:after="0"/>
      <w:ind w:hanging="0" w:start="0"/>
      <w:rPr/>
    </w:pPr>
    <w:r>
      <w:rPr/>
      <w:tab/>
      <w:tab/>
      <w:tab/>
      <w:t>Copyright 1999, 2000 Trading Edge, Inc. All Rights Reserved</w:t>
    </w:r>
  </w:p>
  <w:p>
    <w:pPr>
      <w:pStyle w:val="BodyTextIndent"/>
      <w:spacing w:before="0" w:after="240"/>
      <w:ind w:start="0" w:end="0"/>
      <w:jc w:val="end"/>
      <w:rPr>
        <w:sz w:val="16"/>
      </w:rPr>
    </w:pPr>
    <w:r>
      <w:rPr>
        <w:sz w:val="16"/>
      </w:rPr>
      <w:t>Do not distribute without written consent of Trading Edge, Inc.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/mnt/main-storage/datasets/enron-docs/doc/enrside4_1.doc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Mr. George Webber</w:t>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tab/>
      <w:t>March 20,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turnAddress"/>
      <w:rPr>
        <w:sz w:val="18"/>
      </w:rPr>
    </w:pPr>
    <w:r>
      <w:rPr>
        <w:sz w:val="18"/>
      </w:rPr>
    </w:r>
  </w:p>
  <w:p>
    <w:pPr>
      <w:pStyle w:val="ReturnAddress"/>
      <w:jc w:val="center"/>
      <w:rPr>
        <w:sz w:val="18"/>
      </w:rPr>
    </w:pPr>
    <w:r>
      <w:rPr>
        <w:sz w:val="18"/>
      </w:rPr>
      <w:object w:dxaOrig="4810" w:dyaOrig="15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40.5pt;height:78.5pt" filled="f" o:ole="">
          <v:imagedata r:id="rId2" o:title=""/>
        </v:shape>
        <o:OLEObject Type="Embed" ProgID="" ShapeID="ole_rId1" DrawAspect="Content" ObjectID="_915271166" r:id="rId1"/>
      </w:object>
    </w:r>
  </w:p>
  <w:p>
    <w:pPr>
      <w:pStyle w:val="ReturnAddress"/>
      <w:spacing w:before="240" w:after="0"/>
      <w:jc w:val="center"/>
      <w:rPr/>
    </w:pPr>
    <w:r>
      <w:rPr>
        <w:sz w:val="18"/>
      </w:rPr>
      <w:t xml:space="preserve">1130 Connecticut Avenue, N.W., #550, Washington, DC 20036 </w:t>
    </w:r>
    <w:r>
      <w:rPr>
        <w:rFonts w:eastAsia="Symbol" w:cs="Symbol" w:ascii="Symbol" w:hAnsi="Symbol"/>
        <w:sz w:val="18"/>
      </w:rPr>
      <w:sym w:font="Symbol" w:char="f0b7"/>
    </w:r>
    <w:r>
      <w:rPr>
        <w:sz w:val="18"/>
      </w:rPr>
      <w:t xml:space="preserve"> (202) 436-8301 </w:t>
    </w:r>
    <w:r>
      <w:rPr>
        <w:rFonts w:eastAsia="Symbol" w:cs="Symbol" w:ascii="Symbol" w:hAnsi="Symbol"/>
        <w:sz w:val="18"/>
      </w:rPr>
      <w:sym w:font="Symbol" w:char="f0b7"/>
    </w:r>
    <w:r>
      <w:rPr>
        <w:sz w:val="18"/>
      </w:rPr>
      <w:t xml:space="preserve"> Fax (202) 463-9385</w:t>
    </w:r>
  </w:p>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turnAddress"/>
      <w:rPr>
        <w:sz w:val="18"/>
      </w:rPr>
    </w:pPr>
    <w:r>
      <w:rPr>
        <w:sz w:val="18"/>
      </w:rPr>
    </w:r>
  </w:p>
  <w:p>
    <w:pPr>
      <w:pStyle w:val="ReturnAddress"/>
      <w:jc w:val="center"/>
      <w:rPr>
        <w:sz w:val="18"/>
      </w:rPr>
    </w:pPr>
    <w:r>
      <w:rPr>
        <w:sz w:val="18"/>
      </w:rPr>
      <w:object w:dxaOrig="4810" w:dyaOrig="15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40.5pt;height:78.5pt" filled="f" o:ole="">
          <v:imagedata r:id="rId2" o:title=""/>
        </v:shape>
        <o:OLEObject Type="Embed" ProgID="" ShapeID="ole_rId1" DrawAspect="Content" ObjectID="_884183868" r:id="rId1"/>
      </w:object>
    </w:r>
  </w:p>
  <w:p>
    <w:pPr>
      <w:pStyle w:val="ReturnAddress"/>
      <w:spacing w:before="240" w:after="0"/>
      <w:jc w:val="center"/>
      <w:rPr/>
    </w:pPr>
    <w:r>
      <w:rPr>
        <w:sz w:val="18"/>
      </w:rPr>
      <w:t xml:space="preserve">1130 Connecticut Avenue, N.W., #550, Washington, DC 20036 </w:t>
    </w:r>
    <w:r>
      <w:rPr>
        <w:rFonts w:eastAsia="Symbol" w:cs="Symbol" w:ascii="Symbol" w:hAnsi="Symbol"/>
        <w:sz w:val="18"/>
      </w:rPr>
      <w:sym w:font="Symbol" w:char="f0b7"/>
    </w:r>
    <w:r>
      <w:rPr>
        <w:sz w:val="18"/>
      </w:rPr>
      <w:t xml:space="preserve"> (202) 436-8301 </w:t>
    </w:r>
    <w:r>
      <w:rPr>
        <w:rFonts w:eastAsia="Symbol" w:cs="Symbol" w:ascii="Symbol" w:hAnsi="Symbol"/>
        <w:sz w:val="18"/>
      </w:rPr>
      <w:sym w:font="Symbol" w:char="f0b7"/>
    </w:r>
    <w:r>
      <w:rPr>
        <w:sz w:val="18"/>
      </w:rPr>
      <w:t xml:space="preserve"> Fax (202) 463-9385</w:t>
    </w:r>
  </w:p>
  <w:p>
    <w:pPr>
      <w:pStyle w:val="Header"/>
      <w:rPr>
        <w:sz w:val="18"/>
      </w:rPr>
    </w:pPr>
    <w:r>
      <w:rPr>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turnAddress"/>
      <w:rPr>
        <w:sz w:val="18"/>
      </w:rPr>
    </w:pPr>
    <w:r>
      <w:rPr>
        <w:sz w:val="18"/>
      </w:rPr>
    </w:r>
  </w:p>
  <w:p>
    <w:pPr>
      <w:pStyle w:val="ReturnAddress"/>
      <w:jc w:val="center"/>
      <w:rPr>
        <w:sz w:val="18"/>
      </w:rPr>
    </w:pPr>
    <w:r>
      <w:rPr>
        <w:sz w:val="18"/>
      </w:rPr>
      <w:object w:dxaOrig="4810" w:dyaOrig="15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40.5pt;height:78.5pt" filled="f" o:ole="">
          <v:imagedata r:id="rId2" o:title=""/>
        </v:shape>
        <o:OLEObject Type="Embed" ProgID="" ShapeID="ole_rId1" DrawAspect="Content" ObjectID="_932906478" r:id="rId1"/>
      </w:object>
    </w:r>
  </w:p>
  <w:p>
    <w:pPr>
      <w:pStyle w:val="ReturnAddress"/>
      <w:spacing w:before="240" w:after="0"/>
      <w:jc w:val="center"/>
      <w:rPr/>
    </w:pPr>
    <w:r>
      <w:rPr>
        <w:sz w:val="18"/>
      </w:rPr>
      <w:t xml:space="preserve">1130 Connecticut Avenue, N.W., #550, Washington, DC 20036 </w:t>
    </w:r>
    <w:r>
      <w:rPr>
        <w:rFonts w:eastAsia="Symbol" w:cs="Symbol" w:ascii="Symbol" w:hAnsi="Symbol"/>
        <w:sz w:val="18"/>
      </w:rPr>
      <w:sym w:font="Symbol" w:char="f0b7"/>
    </w:r>
    <w:r>
      <w:rPr>
        <w:sz w:val="18"/>
      </w:rPr>
      <w:t xml:space="preserve"> (202) 436-8301 </w:t>
    </w:r>
    <w:r>
      <w:rPr>
        <w:rFonts w:eastAsia="Symbol" w:cs="Symbol" w:ascii="Symbol" w:hAnsi="Symbol"/>
        <w:sz w:val="18"/>
      </w:rPr>
      <w:sym w:font="Symbol" w:char="f0b7"/>
    </w:r>
    <w:r>
      <w:rPr>
        <w:sz w:val="18"/>
      </w:rPr>
      <w:t xml:space="preserve"> Fax (202) 463-9385</w:t>
    </w:r>
  </w:p>
  <w:p>
    <w:pPr>
      <w:pStyle w:val="Header"/>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3"/>
      <w:numFmt w:val="decimal"/>
      <w:lvlText w:val="%1."/>
      <w:lvlJc w:val="start"/>
      <w:pPr>
        <w:tabs>
          <w:tab w:val="num" w:pos="360"/>
        </w:tabs>
        <w:ind w:start="360" w:hanging="360"/>
      </w:pPr>
      <w:rPr/>
    </w:lvl>
  </w:abstractNum>
  <w:abstractNum w:abstractNumId="3">
    <w:lvl w:ilvl="0">
      <w:start w:val="11"/>
      <w:numFmt w:val="decimal"/>
      <w:lvlText w:val="%1."/>
      <w:lvlJc w:val="start"/>
      <w:pPr>
        <w:tabs>
          <w:tab w:val="num" w:pos="540"/>
        </w:tabs>
        <w:ind w:start="540" w:hanging="540"/>
      </w:pPr>
      <w:rPr>
        <w:rFonts w:ascii="Times New Roman" w:hAnsi="Times New Roman" w:cs="Times New Roman"/>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Main"/>
    <w:qFormat/>
    <w:pPr>
      <w:keepNext w:val="true"/>
      <w:keepLines/>
      <w:numPr>
        <w:ilvl w:val="0"/>
        <w:numId w:val="1"/>
      </w:numPr>
      <w:spacing w:before="360" w:after="0"/>
      <w:outlineLvl w:val="0"/>
    </w:pPr>
    <w:rPr>
      <w:szCs w:val="20"/>
    </w:rPr>
  </w:style>
  <w:style w:type="paragraph" w:styleId="Heading2">
    <w:name w:val="heading 2"/>
    <w:basedOn w:val="Normal"/>
    <w:next w:val="BodyMain"/>
    <w:qFormat/>
    <w:pPr>
      <w:keepNext w:val="true"/>
      <w:keepLines/>
      <w:numPr>
        <w:ilvl w:val="1"/>
        <w:numId w:val="1"/>
      </w:numPr>
      <w:spacing w:before="240" w:after="0"/>
      <w:outlineLvl w:val="1"/>
    </w:pPr>
    <w:rPr>
      <w:szCs w:val="20"/>
    </w:rPr>
  </w:style>
  <w:style w:type="paragraph" w:styleId="Heading3">
    <w:name w:val="heading 3"/>
    <w:basedOn w:val="Normal"/>
    <w:next w:val="BodyMain"/>
    <w:qFormat/>
    <w:pPr>
      <w:keepNext w:val="true"/>
      <w:keepLines/>
      <w:numPr>
        <w:ilvl w:val="2"/>
        <w:numId w:val="1"/>
      </w:numPr>
      <w:spacing w:before="240" w:after="0"/>
      <w:outlineLvl w:val="2"/>
    </w:pPr>
    <w:rPr>
      <w:szCs w:val="20"/>
    </w:rPr>
  </w:style>
  <w:style w:type="paragraph" w:styleId="Heading4">
    <w:name w:val="heading 4"/>
    <w:basedOn w:val="Normal"/>
    <w:next w:val="BodyMain"/>
    <w:qFormat/>
    <w:pPr>
      <w:keepNext w:val="true"/>
      <w:keepLines/>
      <w:numPr>
        <w:ilvl w:val="3"/>
        <w:numId w:val="1"/>
      </w:numPr>
      <w:spacing w:before="240" w:after="0"/>
      <w:outlineLvl w:val="3"/>
    </w:pPr>
    <w:rPr>
      <w:szCs w:val="20"/>
    </w:rPr>
  </w:style>
  <w:style w:type="paragraph" w:styleId="Heading5">
    <w:name w:val="heading 5"/>
    <w:basedOn w:val="Normal"/>
    <w:next w:val="BodyMain"/>
    <w:qFormat/>
    <w:pPr>
      <w:keepNext w:val="true"/>
      <w:keepLines/>
      <w:numPr>
        <w:ilvl w:val="4"/>
        <w:numId w:val="1"/>
      </w:numPr>
      <w:spacing w:before="240" w:after="0"/>
      <w:outlineLvl w:val="4"/>
    </w:pPr>
    <w:rPr>
      <w:szCs w:val="20"/>
    </w:rPr>
  </w:style>
  <w:style w:type="paragraph" w:styleId="Heading6">
    <w:name w:val="heading 6"/>
    <w:basedOn w:val="Normal"/>
    <w:next w:val="BodyMain"/>
    <w:qFormat/>
    <w:pPr>
      <w:keepNext w:val="true"/>
      <w:keepLines/>
      <w:numPr>
        <w:ilvl w:val="5"/>
        <w:numId w:val="1"/>
      </w:numPr>
      <w:spacing w:before="240" w:after="0"/>
      <w:outlineLvl w:val="5"/>
    </w:pPr>
    <w:rPr>
      <w:szCs w:val="20"/>
    </w:rPr>
  </w:style>
  <w:style w:type="paragraph" w:styleId="Heading7">
    <w:name w:val="heading 7"/>
    <w:basedOn w:val="Normal"/>
    <w:next w:val="BodyMain"/>
    <w:qFormat/>
    <w:pPr>
      <w:keepNext w:val="true"/>
      <w:keepLines/>
      <w:numPr>
        <w:ilvl w:val="6"/>
        <w:numId w:val="1"/>
      </w:numPr>
      <w:spacing w:before="240" w:after="0"/>
      <w:outlineLvl w:val="6"/>
    </w:pPr>
    <w:rPr>
      <w:szCs w:val="20"/>
    </w:rPr>
  </w:style>
  <w:style w:type="paragraph" w:styleId="Heading8">
    <w:name w:val="heading 8"/>
    <w:basedOn w:val="Normal"/>
    <w:next w:val="BodyMain"/>
    <w:qFormat/>
    <w:pPr>
      <w:keepNext w:val="true"/>
      <w:keepLines/>
      <w:numPr>
        <w:ilvl w:val="7"/>
        <w:numId w:val="1"/>
      </w:numPr>
      <w:spacing w:before="240" w:after="0"/>
      <w:outlineLvl w:val="7"/>
    </w:pPr>
    <w:rPr>
      <w:szCs w:val="20"/>
    </w:rPr>
  </w:style>
  <w:style w:type="paragraph" w:styleId="Heading9">
    <w:name w:val="heading 9"/>
    <w:basedOn w:val="Normal"/>
    <w:next w:val="BodyMain"/>
    <w:qFormat/>
    <w:pPr>
      <w:keepNext w:val="true"/>
      <w:keepLines/>
      <w:numPr>
        <w:ilvl w:val="8"/>
        <w:numId w:val="1"/>
      </w:numPr>
      <w:spacing w:before="240" w:after="0"/>
      <w:outlineLvl w:val="8"/>
    </w:pPr>
    <w:rPr>
      <w:szCs w:val="20"/>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b w:val="false"/>
      <w:i w:val="false"/>
      <w:sz w:val="24"/>
    </w:rPr>
  </w:style>
  <w:style w:type="character" w:styleId="WW8Num20z1">
    <w:name w:val="WW8Num20z1"/>
    <w:qFormat/>
    <w:rPr>
      <w:rFonts w:ascii="Times New Roman" w:hAnsi="Times New Roman" w:cs="Times New Roman"/>
      <w:b w:val="false"/>
      <w:i w:val="false"/>
      <w:sz w:val="24"/>
      <w:u w:val="none"/>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lineRule="exact" w:line="540"/>
      <w:ind w:firstLine="144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ReturnAddress">
    <w:name w:val="Return Address"/>
    <w:basedOn w:val="Normal"/>
    <w:qFormat/>
    <w:pPr>
      <w:keepLines/>
      <w:spacing w:lineRule="atLeast" w:line="200"/>
    </w:pPr>
    <w:rPr>
      <w:rFonts w:ascii="Arial" w:hAnsi="Arial" w:cs="Arial"/>
      <w:spacing w:val="-2"/>
      <w:sz w:val="16"/>
      <w:szCs w:val="20"/>
    </w:rPr>
  </w:style>
  <w:style w:type="paragraph" w:styleId="BodyTextIndent2">
    <w:name w:val="Body Text Indent 2"/>
    <w:basedOn w:val="Normal"/>
    <w:qFormat/>
    <w:pPr>
      <w:ind w:hanging="360" w:start="360" w:end="0"/>
    </w:pPr>
    <w:rPr>
      <w:rFonts w:ascii="TimesNewRoman" w:hAnsi="TimesNewRoman" w:cs="TimesNewRoman"/>
      <w:szCs w:val="20"/>
    </w:rPr>
  </w:style>
  <w:style w:type="paragraph" w:styleId="NormalWeb">
    <w:name w:val="Normal (Web)"/>
    <w:basedOn w:val="Normal"/>
    <w:qFormat/>
    <w:pPr>
      <w:spacing w:before="280" w:after="280"/>
    </w:pPr>
    <w:rPr/>
  </w:style>
  <w:style w:type="paragraph" w:styleId="BodyTextIndent">
    <w:name w:val="Body Text Indent"/>
    <w:basedOn w:val="Normal"/>
    <w:pPr>
      <w:spacing w:before="0" w:after="240"/>
      <w:ind w:hanging="0" w:start="360" w:end="0"/>
    </w:pPr>
    <w:rPr>
      <w:rFonts w:ascii="Arial" w:hAnsi="Arial" w:cs="Arial"/>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2000-09-29T14:06:00Z</dcterms:created>
  <dc:creator>Daniel T. Brooks</dc:creator>
  <dc:description/>
  <dc:language>en-CA</dc:language>
  <cp:lastModifiedBy>JMorte</cp:lastModifiedBy>
  <cp:lastPrinted>2000-09-28T18:10:00Z</cp:lastPrinted>
  <dcterms:modified xsi:type="dcterms:W3CDTF">2000-09-29T14:06:00Z</dcterms:modified>
  <cp:revision>2</cp:revision>
  <dc:subject/>
  <dc:title>March 20, 2000</dc:title>
</cp:coreProperties>
</file>