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document.xml.rels" ContentType="application/vnd.openxmlformats-package.relationships+xml"/>
  <Override PartName="/word/_rels/header4.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keepNext w:val="false"/>
        <w:numPr>
          <w:ilvl w:val="0"/>
          <w:numId w:val="0"/>
        </w:numPr>
        <w:spacing w:before="240" w:after="0"/>
        <w:ind w:hanging="0" w:start="0"/>
        <w:rPr/>
      </w:pPr>
      <w:r>
        <w:rPr/>
        <w:t>March 20, 2000</w:t>
      </w:r>
    </w:p>
    <w:p>
      <w:pPr>
        <w:pStyle w:val="Normal"/>
        <w:spacing w:before="240" w:after="0"/>
        <w:rPr/>
      </w:pPr>
      <w:r>
        <w:rPr/>
        <w:t>Mr. George Weber</w:t>
        <w:br/>
        <w:t>Enron Corp.</w:t>
        <w:br/>
        <w:t>1400 Smith Street</w:t>
        <w:br/>
        <w:t>Houston, TX 77002</w:t>
      </w:r>
    </w:p>
    <w:p>
      <w:pPr>
        <w:pStyle w:val="Normal"/>
        <w:spacing w:before="240" w:after="0"/>
        <w:rPr/>
      </w:pPr>
      <w:r>
        <w:rPr/>
        <w:t xml:space="preserve">Re:  </w:t>
      </w:r>
      <w:r>
        <w:rPr>
          <w:u w:val="single"/>
        </w:rPr>
        <w:t>Access Agreement with Trading Edge</w:t>
      </w:r>
    </w:p>
    <w:p>
      <w:pPr>
        <w:pStyle w:val="Normal"/>
        <w:spacing w:before="240" w:after="0"/>
        <w:rPr/>
      </w:pPr>
      <w:r>
        <w:rPr/>
        <w:t>Dear Mr. Weber:</w:t>
      </w:r>
    </w:p>
    <w:p>
      <w:pPr>
        <w:pStyle w:val="Normal"/>
        <w:spacing w:before="240" w:after="0"/>
        <w:rPr/>
      </w:pPr>
      <w:r>
        <w:rPr/>
        <w:t xml:space="preserve">Thank you for the draft Addendum commenting on our form of Access Agreement.  Trading Edge’s responses to several of them are set out below in the order that they occur in your Addendum.  We have also attached a form of side letter clarifying provisions where more formal agreement may be required.  </w:t>
      </w:r>
    </w:p>
    <w:p>
      <w:pPr>
        <w:pStyle w:val="Normal"/>
        <w:spacing w:before="240" w:after="0"/>
        <w:rPr/>
      </w:pPr>
      <w:r>
        <w:rPr/>
        <w:t>1.</w:t>
        <w:tab/>
        <w:t xml:space="preserve">Section 11 of the Access Agreement contains a warranty that protects you against mishandled orders and non-conformity of the system to its documentation.  With the exception of those warranties, Trading Edge believes that warranty claims (and other liability) are not appropriate, even if due to the negligence of Trading Edge staff.  That position reflects the pragmatic fact that Trading Edge is not compensated for providing the system, only by low commissions when there are trades.  Liability of any kind adds costs - if nothing else, for insurance to cover possible losses - and increases such execution costs to you.  That insurance is expensive.  </w:t>
      </w:r>
    </w:p>
    <w:p>
      <w:pPr>
        <w:pStyle w:val="Normal"/>
        <w:spacing w:before="240" w:after="0"/>
        <w:rPr/>
      </w:pPr>
      <w:r>
        <w:rPr/>
        <w:t xml:space="preserve">Against that factual underpinning, consider the fact that computer trading systems that work generally reduce the risks of errors currently borne by market participants using customary methods.  In short, we should save you some money currently lost through errors.  Thus, Trading Edge believes that the scenario should be “Try us, stop if you don’t like us, but if you do, please don’t think in terms of liability for service or access issues.  </w:t>
      </w:r>
    </w:p>
    <w:p>
      <w:pPr>
        <w:pStyle w:val="Normal"/>
        <w:spacing w:before="240" w:after="0"/>
        <w:rPr/>
      </w:pPr>
      <w:r>
        <w:rPr>
          <w:bCs/>
        </w:rPr>
        <w:t>We assume that the new language you suggest limiting consequential damages of “Information Providers” was intended to make that clause reciprocal.  As you know, the Bond</w:t>
      </w:r>
      <w:r>
        <w:rPr>
          <w:bCs/>
          <w:i/>
          <w:iCs/>
        </w:rPr>
        <w:t>Link</w:t>
      </w:r>
      <w:r>
        <w:rPr>
          <w:bCs/>
        </w:rPr>
        <w:t xml:space="preserve"> Service is a matching system.  So, we do not understand reciprocity to be appropriate, because lost profits are exactly the kind of damages a disappointed trader on the other side of a trade may seek should Enron break a trade or dispute the terms of one.</w:t>
      </w:r>
    </w:p>
    <w:p>
      <w:pPr>
        <w:pStyle w:val="Normal"/>
        <w:spacing w:before="240" w:after="0"/>
        <w:rPr/>
      </w:pPr>
      <w:r>
        <w:rPr/>
        <w:t>2.</w:t>
        <w:tab/>
        <w:t xml:space="preserve">Section 18 - We have addressed the question of addresses and addressees for notices in the attached side letter.  </w:t>
      </w:r>
    </w:p>
    <w:p>
      <w:pPr>
        <w:pStyle w:val="Normal"/>
        <w:spacing w:before="240" w:after="0"/>
        <w:rPr/>
      </w:pPr>
      <w:r>
        <w:rPr/>
        <w:t>3.</w:t>
        <w:tab/>
        <w:t xml:space="preserve">Section 19 - We have addressed the question of e-mail notice in the attached side letter.  </w:t>
      </w:r>
    </w:p>
    <w:p>
      <w:pPr>
        <w:pStyle w:val="Normal"/>
        <w:spacing w:before="240" w:after="0"/>
        <w:rPr/>
      </w:pPr>
      <w:r>
        <w:rPr/>
        <w:t>4.</w:t>
        <w:tab/>
        <w:t xml:space="preserve">Section 20 – We believe that your reference to the exclusive jurisdiction clause should be to Section 20, not Section 19.  Please advise if we are not correct.  In any case, the New York venue was not selected for “home court” or any other such purpose.  Had that been the concern, Santa Monica would have been selected.  Due to the importance of New York as a commercial center, New York substantive law and venue were chosen as most likely to be most accepted by the numerous participants in the system and where the vast majority would be likely to have offices, making dispute resolution from that office convenient for all concerned.  </w:t>
      </w:r>
    </w:p>
    <w:p>
      <w:pPr>
        <w:pStyle w:val="Normal"/>
        <w:spacing w:before="240" w:after="0"/>
        <w:rPr/>
      </w:pPr>
      <w:r>
        <w:rPr/>
        <w:t>5.</w:t>
        <w:tab/>
        <w:t xml:space="preserve">TIPS Agreement - Finally, we are sorry, but the text of the TIPS Agreement is dictated to us by a third party and cannot be changed.  </w:t>
      </w:r>
    </w:p>
    <w:p>
      <w:pPr>
        <w:pStyle w:val="BodyText"/>
        <w:keepNext w:val="true"/>
        <w:spacing w:before="240" w:after="0"/>
        <w:rPr/>
      </w:pPr>
      <w:r>
        <w:rPr/>
        <w:t>If you have any questions, please do not hesitate to call me at 646-375-1316.</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keepNext w:val="true"/>
        <w:keepLines/>
        <w:spacing w:before="240" w:after="0"/>
        <w:rPr/>
      </w:pPr>
      <w:r>
        <w:rPr/>
        <w:t>Sincerely,</w:t>
        <w:br/>
        <w:br/>
        <w:br/>
        <w:br/>
        <w:t>Kenneth Austin</w:t>
        <w:br/>
      </w:r>
    </w:p>
    <w:p>
      <w:pPr>
        <w:pStyle w:val="Heading2"/>
        <w:numPr>
          <w:ilvl w:val="0"/>
          <w:numId w:val="0"/>
        </w:numPr>
        <w:spacing w:before="960" w:after="0"/>
        <w:ind w:hanging="0" w:start="0"/>
        <w:rPr/>
      </w:pPr>
      <w:r>
        <w:rPr/>
        <w:t>March 20, 2000</w:t>
      </w:r>
    </w:p>
    <w:p>
      <w:pPr>
        <w:pStyle w:val="Normal"/>
        <w:spacing w:before="240" w:after="0"/>
        <w:rPr/>
      </w:pPr>
      <w:r>
        <w:rPr/>
        <w:t>Mr. George Weber</w:t>
        <w:br/>
        <w:t>Enron Corp.</w:t>
        <w:br/>
        <w:t>1400 Smith Street</w:t>
        <w:br/>
        <w:t>Houston, TX 77002</w:t>
      </w:r>
    </w:p>
    <w:p>
      <w:pPr>
        <w:pStyle w:val="Normal"/>
        <w:spacing w:before="240" w:after="0"/>
        <w:rPr/>
      </w:pPr>
      <w:r>
        <w:rPr/>
        <w:t xml:space="preserve">Re:  </w:t>
      </w:r>
      <w:r>
        <w:rPr>
          <w:u w:val="single"/>
        </w:rPr>
        <w:t>Access Agreement with Trading Edge</w:t>
      </w:r>
    </w:p>
    <w:p>
      <w:pPr>
        <w:pStyle w:val="BodyText"/>
        <w:spacing w:before="240" w:after="0"/>
        <w:rPr/>
      </w:pPr>
      <w:r>
        <w:rPr/>
        <w:t>Dear Mr. Weber:</w:t>
      </w:r>
    </w:p>
    <w:p>
      <w:pPr>
        <w:pStyle w:val="Heading1"/>
        <w:spacing w:before="240" w:after="0"/>
        <w:ind w:hanging="0" w:start="0"/>
        <w:rPr/>
      </w:pPr>
      <w:r>
        <w:rPr/>
        <w:t>Notices</w:t>
      </w:r>
    </w:p>
    <w:p>
      <w:pPr>
        <w:pStyle w:val="BodyText"/>
        <w:spacing w:before="240" w:after="0"/>
        <w:rPr/>
      </w:pPr>
      <w:r>
        <w:rPr/>
        <w:t xml:space="preserve">The parties will not employ e-mail notification for extraordinary matters such as termination or amendment of the Access Agreement, itself.  However, it is understood that notice of changes to the Online Policies and other correspondence respecting the System and trading will continue to be exchanged in that form.  Until Enron otherwise directs in writing, Trading Edge agrees that copies of notices respecting such extraordinary matters will be sent to Enron at 1400 Smith Street, Houston, TX 77002 Attn: VP, Information Technology with a copy to Senior Vice President and General Counsel at the same address.  </w:t>
      </w:r>
    </w:p>
    <w:p>
      <w:pPr>
        <w:pStyle w:val="Heading1"/>
        <w:spacing w:before="240" w:after="0"/>
        <w:ind w:hanging="0" w:start="0"/>
        <w:rPr/>
      </w:pPr>
      <w:r>
        <w:rPr/>
        <w:t>Language Error</w:t>
      </w:r>
    </w:p>
    <w:p>
      <w:pPr>
        <w:pStyle w:val="BodyText"/>
        <w:spacing w:before="240" w:after="0"/>
        <w:rPr/>
      </w:pPr>
      <w:r>
        <w:rPr/>
        <w:t xml:space="preserve">Section 10, second paragraph, subsection 3 should read "that can be avoided by substitution of other hardware, software or technology at reasonable expense to you."  The provision is intended to cover the situation where substitution can be accomplished after we learn of the alleged infringement.  It is not intended to excuse past infringements, only to excuse where a reasonable corrective course was possible but for whatever reason Enron declined to follow it. </w:t>
      </w:r>
    </w:p>
    <w:p>
      <w:pPr>
        <w:pStyle w:val="BodyText"/>
        <w:keepNext w:val="true"/>
        <w:spacing w:before="240" w:after="0"/>
        <w:rPr/>
      </w:pPr>
      <w:r>
        <w:rPr/>
        <w:t>If you have any questions, please do not hesitate to call me at 646-375-1316.  If you are in agreement with these clarifications, please sign both copies of this letter and return them to me for countersignature.  I will promptly return one fully executed copy to you.</w:t>
      </w:r>
    </w:p>
    <w:p>
      <w:pPr>
        <w:pStyle w:val="Normal"/>
        <w:keepNext w:val="true"/>
        <w:keepLines/>
        <w:spacing w:before="240" w:after="0"/>
        <w:rPr/>
      </w:pPr>
      <w:r>
        <w:rPr/>
        <w:t>Sincerely,</w:t>
        <w:br/>
        <w:br/>
        <w:br/>
        <w:br/>
        <w:t>Kenneth Austin</w:t>
        <w:br/>
      </w:r>
    </w:p>
    <w:p>
      <w:pPr>
        <w:pStyle w:val="BodyText"/>
        <w:spacing w:before="240" w:after="0"/>
        <w:rPr/>
      </w:pPr>
      <w:r>
        <w:rPr/>
        <w:t>Agreed:</w:t>
      </w:r>
    </w:p>
    <w:p>
      <w:pPr>
        <w:pStyle w:val="BodyText"/>
        <w:keepNext w:val="true"/>
        <w:keepLines/>
        <w:spacing w:before="0" w:after="720"/>
        <w:rPr/>
      </w:pPr>
      <w:r>
        <w:rPr/>
        <w:t>Entity Name:  Enron Corp.</w:t>
      </w:r>
    </w:p>
    <w:p>
      <w:pPr>
        <w:pStyle w:val="BodyText"/>
        <w:keepNext w:val="true"/>
        <w:keepLines/>
        <w:tabs>
          <w:tab w:val="clear" w:pos="720"/>
          <w:tab w:val="left" w:pos="4410" w:leader="none"/>
        </w:tabs>
        <w:rPr/>
      </w:pPr>
      <w:r>
        <w:rPr/>
        <w:t>By:  _____________________________</w:t>
      </w:r>
    </w:p>
    <w:p>
      <w:pPr>
        <w:pStyle w:val="BodyText"/>
        <w:keepNext w:val="true"/>
        <w:keepLines/>
        <w:tabs>
          <w:tab w:val="clear" w:pos="720"/>
          <w:tab w:val="left" w:pos="4410" w:leader="none"/>
        </w:tabs>
        <w:rPr/>
      </w:pPr>
      <w:r>
        <w:rPr/>
        <w:t>Title:  ____________________________</w:t>
      </w:r>
    </w:p>
    <w:p>
      <w:pPr>
        <w:pStyle w:val="BodyText"/>
        <w:keepNext w:val="true"/>
        <w:keepLines/>
        <w:tabs>
          <w:tab w:val="clear" w:pos="720"/>
          <w:tab w:val="left" w:pos="4410" w:leader="none"/>
        </w:tabs>
        <w:rPr/>
      </w:pPr>
      <w:r>
        <w:rPr/>
        <w:t>Email:  ___________________________</w:t>
      </w:r>
    </w:p>
    <w:p>
      <w:pPr>
        <w:pStyle w:val="BodyText"/>
        <w:keepNext w:val="true"/>
        <w:keepLines/>
        <w:tabs>
          <w:tab w:val="clear" w:pos="720"/>
          <w:tab w:val="left" w:pos="4410" w:leader="none"/>
        </w:tabs>
        <w:rPr/>
      </w:pPr>
      <w:r>
        <w:rPr/>
        <w:t>Address:  _________________________</w:t>
      </w:r>
    </w:p>
    <w:p>
      <w:pPr>
        <w:pStyle w:val="BodyText"/>
        <w:keepNext w:val="true"/>
        <w:keepLines/>
        <w:tabs>
          <w:tab w:val="clear" w:pos="720"/>
          <w:tab w:val="left" w:pos="4410" w:leader="none"/>
        </w:tabs>
        <w:rPr/>
      </w:pPr>
      <w:r>
        <w:rPr/>
        <w:t>                </w:t>
      </w:r>
      <w:r>
        <w:rPr/>
        <w:t>_________________________</w:t>
      </w:r>
    </w:p>
    <w:p>
      <w:pPr>
        <w:pStyle w:val="Normal"/>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enrside2_1.doc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/mnt/main-storage/datasets/enron-docs/doc/enrside2_1.doc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w:rPr/>
      <w:t>Mr. George Weber</w:t>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tab/>
      <w:t>March 20, 2000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eturnAddress"/>
      <w:rPr>
        <w:sz w:val="18"/>
      </w:rPr>
    </w:pPr>
    <w:r>
      <w:rPr>
        <w:sz w:val="18"/>
      </w:rPr>
    </w:r>
  </w:p>
  <w:p>
    <w:pPr>
      <w:pStyle w:val="ReturnAddress"/>
      <w:jc w:val="center"/>
      <w:rPr>
        <w:sz w:val="18"/>
      </w:rPr>
    </w:pPr>
    <w:r>
      <w:rPr>
        <w:sz w:val="18"/>
      </w:rPr>
      <w:object w:dxaOrig="4810" w:dyaOrig="157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240.5pt;height:78.5pt" filled="f" o:ole="">
          <v:imagedata r:id="rId2" o:title=""/>
        </v:shape>
        <o:OLEObject Type="Embed" ProgID="" ShapeID="ole_rId1" DrawAspect="Content" ObjectID="_1027931301" r:id="rId1"/>
      </w:object>
    </w:r>
  </w:p>
  <w:p>
    <w:pPr>
      <w:pStyle w:val="ReturnAddress"/>
      <w:spacing w:before="240" w:after="0"/>
      <w:jc w:val="center"/>
      <w:rPr/>
    </w:pPr>
    <w:r>
      <w:rPr>
        <w:sz w:val="18"/>
      </w:rPr>
      <w:t xml:space="preserve">1130 Connecticut Avenue, N.W., #550, Washington, DC 20036 </w:t>
    </w:r>
    <w:r>
      <w:rPr>
        <w:rFonts w:eastAsia="Symbol" w:cs="Symbol" w:ascii="Symbol" w:hAnsi="Symbol"/>
        <w:sz w:val="18"/>
      </w:rPr>
      <w:sym w:font="Symbol" w:char="f0b7"/>
    </w:r>
    <w:r>
      <w:rPr>
        <w:sz w:val="18"/>
      </w:rPr>
      <w:t xml:space="preserve"> (202) 436-8301 </w:t>
    </w:r>
    <w:r>
      <w:rPr>
        <w:rFonts w:eastAsia="Symbol" w:cs="Symbol" w:ascii="Symbol" w:hAnsi="Symbol"/>
        <w:sz w:val="18"/>
      </w:rPr>
      <w:sym w:font="Symbol" w:char="f0b7"/>
    </w:r>
    <w:r>
      <w:rPr>
        <w:sz w:val="18"/>
      </w:rPr>
      <w:t xml:space="preserve"> Fax (202) 463-9385</w:t>
    </w:r>
  </w:p>
  <w:p>
    <w:pPr>
      <w:pStyle w:val="Header"/>
      <w:rPr>
        <w:sz w:val="18"/>
      </w:rPr>
    </w:pPr>
    <w:r>
      <w:rPr>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w:rPr/>
      <w:t>Mr. George Weber</w:t>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tab/>
      <w:t>March 20, 2000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eturnAddress"/>
      <w:rPr>
        <w:sz w:val="18"/>
      </w:rPr>
    </w:pPr>
    <w:r>
      <w:rPr>
        <w:sz w:val="18"/>
      </w:rPr>
    </w:r>
  </w:p>
  <w:p>
    <w:pPr>
      <w:pStyle w:val="ReturnAddress"/>
      <w:jc w:val="center"/>
      <w:rPr>
        <w:sz w:val="18"/>
      </w:rPr>
    </w:pPr>
    <w:r>
      <w:rPr>
        <w:sz w:val="18"/>
      </w:rPr>
      <w:object w:dxaOrig="4810" w:dyaOrig="157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240.5pt;height:78.5pt" filled="f" o:ole="">
          <v:imagedata r:id="rId2" o:title=""/>
        </v:shape>
        <o:OLEObject Type="Embed" ProgID="" ShapeID="ole_rId1" DrawAspect="Content" ObjectID="_1017465562" r:id="rId1"/>
      </w:object>
    </w:r>
  </w:p>
  <w:p>
    <w:pPr>
      <w:pStyle w:val="ReturnAddress"/>
      <w:spacing w:before="240" w:after="0"/>
      <w:jc w:val="center"/>
      <w:rPr/>
    </w:pPr>
    <w:r>
      <w:rPr>
        <w:sz w:val="18"/>
      </w:rPr>
      <w:t xml:space="preserve">1130 Connecticut Avenue, N.W., #550, Washington, DC 20036 </w:t>
    </w:r>
    <w:r>
      <w:rPr>
        <w:rFonts w:eastAsia="Symbol" w:cs="Symbol" w:ascii="Symbol" w:hAnsi="Symbol"/>
        <w:sz w:val="18"/>
      </w:rPr>
      <w:sym w:font="Symbol" w:char="f0b7"/>
    </w:r>
    <w:r>
      <w:rPr>
        <w:sz w:val="18"/>
      </w:rPr>
      <w:t xml:space="preserve"> (202) 436-8301 </w:t>
    </w:r>
    <w:r>
      <w:rPr>
        <w:rFonts w:eastAsia="Symbol" w:cs="Symbol" w:ascii="Symbol" w:hAnsi="Symbol"/>
        <w:sz w:val="18"/>
      </w:rPr>
      <w:sym w:font="Symbol" w:char="f0b7"/>
    </w:r>
    <w:r>
      <w:rPr>
        <w:sz w:val="18"/>
      </w:rPr>
      <w:t xml:space="preserve"> Fax (202) 463-9385</w:t>
    </w:r>
  </w:p>
  <w:p>
    <w:pPr>
      <w:pStyle w:val="Header"/>
      <w:rPr>
        <w:sz w:val="18"/>
      </w:rPr>
    </w:pPr>
    <w:r>
      <w:rPr>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end"/>
      <w:pPr>
        <w:tabs>
          <w:tab w:val="num" w:pos="720"/>
        </w:tabs>
        <w:ind w:start="720" w:hanging="360"/>
      </w:pPr>
      <w:rPr>
        <w:sz w:val="24"/>
        <w:i w:val="false"/>
        <w:b w:val="false"/>
        <w:rFonts w:ascii="Times New Roman" w:hAnsi="Times New Roman" w:cs="Times New Roman"/>
      </w:rPr>
    </w:lvl>
    <w:lvl w:ilvl="1">
      <w:start w:val="1"/>
      <w:pStyle w:val="Heading2"/>
      <w:numFmt w:val="upperLetter"/>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decimal"/>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Letter"/>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end"/>
      <w:pPr>
        <w:tabs>
          <w:tab w:val="num" w:pos="3600"/>
        </w:tabs>
        <w:ind w:start="3600" w:hanging="360"/>
      </w:pPr>
      <w:rPr>
        <w:sz w:val="24"/>
        <w:i w:val="false"/>
        <w:b w:val="false"/>
        <w:rFonts w:ascii="Times New Roman" w:hAnsi="Times New Roman" w:cs="Times New Roman"/>
      </w:rPr>
    </w:lvl>
    <w:lvl w:ilvl="5">
      <w:start w:val="1"/>
      <w:pStyle w:val="Heading6"/>
      <w:numFmt w:val="lowerLetter"/>
      <w:lvlText w:val="%6)"/>
      <w:lvlJc w:val="start"/>
      <w:pPr>
        <w:tabs>
          <w:tab w:val="num" w:pos="4320"/>
        </w:tabs>
        <w:ind w:start="4320" w:hanging="720"/>
      </w:pPr>
      <w:rPr>
        <w:sz w:val="24"/>
        <w:i w:val="false"/>
        <w:b w:val="false"/>
        <w:rFonts w:ascii="Times New Roman" w:hAnsi="Times New Roman" w:cs="Times New Roman"/>
      </w:rPr>
    </w:lvl>
    <w:lvl w:ilvl="6">
      <w:start w:val="1"/>
      <w:pStyle w:val="Heading7"/>
      <w:numFmt w:val="decimal"/>
      <w:lvlText w:val="%7)"/>
      <w:lvlJc w:val="start"/>
      <w:pPr>
        <w:tabs>
          <w:tab w:val="num" w:pos="5040"/>
        </w:tabs>
        <w:ind w:start="5040" w:hanging="720"/>
      </w:pPr>
      <w:rPr>
        <w:sz w:val="24"/>
        <w:i w:val="false"/>
        <w:b w:val="false"/>
        <w:rFonts w:ascii="Times New Roman" w:hAnsi="Times New Roman" w:cs="Times New Roman"/>
      </w:rPr>
    </w:lvl>
    <w:lvl w:ilvl="7">
      <w:start w:val="1"/>
      <w:pStyle w:val="Heading8"/>
      <w:numFmt w:val="lowerRoman"/>
      <w:lvlText w:val="%8)"/>
      <w:lvlJc w:val="end"/>
      <w:pPr>
        <w:tabs>
          <w:tab w:val="num" w:pos="5760"/>
        </w:tabs>
        <w:ind w:start="5760" w:hanging="360"/>
      </w:pPr>
      <w:rPr>
        <w:sz w:val="24"/>
        <w:i w:val="false"/>
        <w:b w:val="false"/>
        <w:rFonts w:ascii="Times New Roman" w:hAnsi="Times New Roman" w:cs="Times New Roman"/>
      </w:rPr>
    </w:lvl>
    <w:lvl w:ilvl="8">
      <w:start w:val="1"/>
      <w:pStyle w:val="Heading9"/>
      <w:numFmt w:val="lowerLetter"/>
      <w:lvlText w:val="(%9)"/>
      <w:lvlJc w:val="start"/>
      <w:pPr>
        <w:tabs>
          <w:tab w:val="num" w:pos="6480"/>
        </w:tabs>
        <w:ind w:start="6480" w:hanging="720"/>
      </w:pPr>
      <w:rPr>
        <w:sz w:val="24"/>
        <w:i w:val="false"/>
        <w:b w:val="false"/>
        <w:rFonts w:ascii="Times New Roman" w:hAnsi="Times New Roman" w:cs="Times New Roman"/>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keepLines/>
      <w:numPr>
        <w:ilvl w:val="0"/>
        <w:numId w:val="1"/>
      </w:numPr>
      <w:spacing w:before="360" w:after="0"/>
      <w:outlineLvl w:val="0"/>
    </w:pPr>
    <w:rPr>
      <w:szCs w:val="20"/>
    </w:rPr>
  </w:style>
  <w:style w:type="paragraph" w:styleId="Heading2">
    <w:name w:val="heading 2"/>
    <w:basedOn w:val="Normal"/>
    <w:next w:val="Normal"/>
    <w:qFormat/>
    <w:pPr>
      <w:keepNext w:val="true"/>
      <w:keepLines/>
      <w:numPr>
        <w:ilvl w:val="1"/>
        <w:numId w:val="1"/>
      </w:numPr>
      <w:spacing w:before="240" w:after="0"/>
      <w:outlineLvl w:val="1"/>
    </w:pPr>
    <w:rPr>
      <w:szCs w:val="20"/>
    </w:rPr>
  </w:style>
  <w:style w:type="paragraph" w:styleId="Heading3">
    <w:name w:val="heading 3"/>
    <w:basedOn w:val="Normal"/>
    <w:next w:val="Normal"/>
    <w:qFormat/>
    <w:pPr>
      <w:keepNext w:val="true"/>
      <w:keepLines/>
      <w:numPr>
        <w:ilvl w:val="2"/>
        <w:numId w:val="1"/>
      </w:numPr>
      <w:spacing w:before="240" w:after="0"/>
      <w:outlineLvl w:val="2"/>
    </w:pPr>
    <w:rPr>
      <w:szCs w:val="20"/>
    </w:rPr>
  </w:style>
  <w:style w:type="paragraph" w:styleId="Heading4">
    <w:name w:val="heading 4"/>
    <w:basedOn w:val="Normal"/>
    <w:next w:val="Normal"/>
    <w:qFormat/>
    <w:pPr>
      <w:keepNext w:val="true"/>
      <w:keepLines/>
      <w:numPr>
        <w:ilvl w:val="3"/>
        <w:numId w:val="1"/>
      </w:numPr>
      <w:spacing w:before="240" w:after="0"/>
      <w:outlineLvl w:val="3"/>
    </w:pPr>
    <w:rPr>
      <w:szCs w:val="20"/>
    </w:rPr>
  </w:style>
  <w:style w:type="paragraph" w:styleId="Heading5">
    <w:name w:val="heading 5"/>
    <w:basedOn w:val="Normal"/>
    <w:next w:val="Normal"/>
    <w:qFormat/>
    <w:pPr>
      <w:keepNext w:val="true"/>
      <w:keepLines/>
      <w:numPr>
        <w:ilvl w:val="4"/>
        <w:numId w:val="1"/>
      </w:numPr>
      <w:spacing w:before="240" w:after="0"/>
      <w:outlineLvl w:val="4"/>
    </w:pPr>
    <w:rPr>
      <w:szCs w:val="20"/>
    </w:rPr>
  </w:style>
  <w:style w:type="paragraph" w:styleId="Heading6">
    <w:name w:val="heading 6"/>
    <w:basedOn w:val="Normal"/>
    <w:next w:val="Normal"/>
    <w:qFormat/>
    <w:pPr>
      <w:keepNext w:val="true"/>
      <w:keepLines/>
      <w:numPr>
        <w:ilvl w:val="5"/>
        <w:numId w:val="1"/>
      </w:numPr>
      <w:spacing w:before="240" w:after="0"/>
      <w:outlineLvl w:val="5"/>
    </w:pPr>
    <w:rPr>
      <w:szCs w:val="20"/>
    </w:rPr>
  </w:style>
  <w:style w:type="paragraph" w:styleId="Heading7">
    <w:name w:val="heading 7"/>
    <w:basedOn w:val="Normal"/>
    <w:next w:val="Normal"/>
    <w:qFormat/>
    <w:pPr>
      <w:keepNext w:val="true"/>
      <w:keepLines/>
      <w:numPr>
        <w:ilvl w:val="6"/>
        <w:numId w:val="1"/>
      </w:numPr>
      <w:spacing w:before="240" w:after="0"/>
      <w:outlineLvl w:val="6"/>
    </w:pPr>
    <w:rPr>
      <w:szCs w:val="20"/>
    </w:rPr>
  </w:style>
  <w:style w:type="paragraph" w:styleId="Heading8">
    <w:name w:val="heading 8"/>
    <w:basedOn w:val="Normal"/>
    <w:next w:val="Normal"/>
    <w:qFormat/>
    <w:pPr>
      <w:keepNext w:val="true"/>
      <w:keepLines/>
      <w:numPr>
        <w:ilvl w:val="7"/>
        <w:numId w:val="1"/>
      </w:numPr>
      <w:spacing w:before="240" w:after="0"/>
      <w:outlineLvl w:val="7"/>
    </w:pPr>
    <w:rPr>
      <w:szCs w:val="20"/>
    </w:rPr>
  </w:style>
  <w:style w:type="paragraph" w:styleId="Heading9">
    <w:name w:val="heading 9"/>
    <w:basedOn w:val="Normal"/>
    <w:next w:val="Normal"/>
    <w:qFormat/>
    <w:pPr>
      <w:keepNext w:val="true"/>
      <w:keepLines/>
      <w:numPr>
        <w:ilvl w:val="8"/>
        <w:numId w:val="1"/>
      </w:numPr>
      <w:spacing w:before="240" w:after="0"/>
      <w:outlineLvl w:val="8"/>
    </w:pPr>
    <w:rPr>
      <w:szCs w:val="20"/>
    </w:rPr>
  </w:style>
  <w:style w:type="character" w:styleId="WW8Num1z0">
    <w:name w:val="WW8Num1z0"/>
    <w:qFormat/>
    <w:rPr>
      <w:rFonts w:ascii="Times New Roman" w:hAnsi="Times New Roman" w:cs="Times New Roman"/>
      <w:b w:val="false"/>
      <w:i w:val="false"/>
      <w:sz w:val="24"/>
    </w:rPr>
  </w:style>
  <w:style w:type="character" w:styleId="WW8Num1z1">
    <w:name w:val="WW8Num1z1"/>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ReturnAddress">
    <w:name w:val="Return Address"/>
    <w:basedOn w:val="Normal"/>
    <w:qFormat/>
    <w:pPr>
      <w:keepLines/>
      <w:spacing w:lineRule="atLeast" w:line="200"/>
    </w:pPr>
    <w:rPr>
      <w:rFonts w:ascii="Arial" w:hAnsi="Arial" w:cs="Arial"/>
      <w:spacing w:val="-2"/>
      <w:sz w:val="16"/>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2000-04-10T16:08:00Z</dcterms:created>
  <dc:creator>JMorte</dc:creator>
  <dc:description/>
  <dc:language>en-CA</dc:language>
  <cp:lastModifiedBy>JMorte</cp:lastModifiedBy>
  <dcterms:modified xsi:type="dcterms:W3CDTF">2000-04-10T16:09:00Z</dcterms:modified>
  <cp:revision>1</cp:revision>
  <dc:subject/>
  <dc:title>March 20, 2000</dc:title>
</cp:coreProperties>
</file>