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advertisement has been issued by Enron Softs, a division of Enron Metals Limited which is regulated by the Securities and Futures Authority (SFA) in the conduct of investment business.  The services/products/information referred to herein are intended only for commercial enterprises and not for private customers as defined by the rules of the SFA.  Enron will not enter into transactions with persons who would be regarded as private customers under the rules of the SFA.  The services/products/information referred to herein are affected by a variety of circumstances including the trading activities of market participants.  Neither Enron Metals nor its affiliates assume any responsibility or liability for the accuracy, reliability or completeness of any of the information or material herein.  Views expressed herein are not intended to provide advise or recommendations and the customer accepts sole responsibility for its decisions to enter into transactions with Enron Metals or its affiliates.  Views expressed are subject to change without notice.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2001-06-01T18:17:00Z</dcterms:created>
  <dc:creator>mgreenbe</dc:creator>
  <dc:description/>
  <dc:language>en-CA</dc:language>
  <cp:lastModifiedBy>mgreenbe</cp:lastModifiedBy>
  <dcterms:modified xsi:type="dcterms:W3CDTF">2001-06-01T18:23:00Z</dcterms:modified>
  <cp:revision>3</cp:revision>
  <dc:subject/>
  <dc:title>This advertisement has been issued by Enron Europe Finance and Trading Limited which is regulated by the Securities and Future</dc:title>
</cp:coreProperties>
</file>