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Special Provisions Amendment</w:t>
      </w:r>
    </w:p>
    <w:p>
      <w:pPr>
        <w:pStyle w:val="Normal"/>
        <w:jc w:val="center"/>
        <w:rPr>
          <w:b/>
        </w:rPr>
      </w:pPr>
      <w:r>
        <w:rPr>
          <w:b/>
        </w:rPr>
        <w:t>Attached to and made a Part of the Base Contract for Short-Term Sale and Purchase of Natural Gas</w:t>
      </w:r>
    </w:p>
    <w:p>
      <w:pPr>
        <w:pStyle w:val="Normal"/>
        <w:jc w:val="center"/>
        <w:rPr>
          <w:b/>
        </w:rPr>
      </w:pPr>
      <w:r>
        <w:rPr>
          <w:b/>
        </w:rPr>
        <w:t>Between Enron North America and BC Gas Utility Ltd.</w:t>
      </w:r>
    </w:p>
    <w:p>
      <w:pPr>
        <w:pStyle w:val="Normal"/>
        <w:rPr/>
      </w:pPr>
      <w:r>
        <w:rPr/>
      </w:r>
    </w:p>
    <w:p>
      <w:pPr>
        <w:pStyle w:val="Header"/>
        <w:tabs>
          <w:tab w:val="clear" w:pos="4320"/>
          <w:tab w:val="clear" w:pos="8640"/>
        </w:tabs>
        <w:rPr/>
      </w:pPr>
      <w:r>
        <w:rPr/>
      </w:r>
    </w:p>
    <w:p>
      <w:pPr>
        <w:pStyle w:val="Heading2"/>
        <w:ind w:hanging="0" w:start="0"/>
        <w:rPr/>
      </w:pPr>
      <w:r>
        <w:rPr/>
        <w:t>Contract Face Page (GISB)</w:t>
      </w:r>
    </w:p>
    <w:p>
      <w:pPr>
        <w:pStyle w:val="Normal"/>
        <w:rPr/>
      </w:pPr>
      <w:r>
        <w:rPr/>
      </w:r>
    </w:p>
    <w:p>
      <w:pPr>
        <w:pStyle w:val="Heading1"/>
        <w:ind w:hanging="0" w:start="0"/>
        <w:rPr/>
      </w:pPr>
      <w:r>
        <w:rPr/>
        <w:t>Section 13.5</w:t>
      </w:r>
    </w:p>
    <w:p>
      <w:pPr>
        <w:pStyle w:val="Normal"/>
        <w:rPr/>
      </w:pPr>
      <w:r>
        <w:rPr>
          <w:b/>
        </w:rPr>
        <w:t>Make</w:t>
      </w:r>
      <w:r>
        <w:rPr/>
        <w:t xml:space="preserve"> Choice of Law:  British Columbia</w:t>
      </w:r>
    </w:p>
    <w:p>
      <w:pPr>
        <w:pStyle w:val="Normal"/>
        <w:rPr/>
      </w:pPr>
      <w:r>
        <w:rPr/>
      </w:r>
    </w:p>
    <w:p>
      <w:pPr>
        <w:pStyle w:val="Heading1"/>
        <w:ind w:hanging="0" w:start="0"/>
        <w:rPr/>
      </w:pPr>
      <w:r>
        <w:rPr/>
        <w:t>Section 2.24</w:t>
      </w:r>
    </w:p>
    <w:p>
      <w:pPr>
        <w:pStyle w:val="Normal"/>
        <w:rPr/>
      </w:pPr>
      <w:r>
        <w:rPr>
          <w:b/>
        </w:rPr>
        <w:t xml:space="preserve">Make </w:t>
      </w:r>
      <w:r>
        <w:rPr/>
        <w:t>Gas Daily</w:t>
      </w:r>
    </w:p>
    <w:p>
      <w:pPr>
        <w:pStyle w:val="Normal"/>
        <w:rPr/>
      </w:pPr>
      <w:r>
        <w:rPr/>
      </w:r>
    </w:p>
    <w:p>
      <w:pPr>
        <w:pStyle w:val="Normal"/>
        <w:rPr/>
      </w:pPr>
      <w:r>
        <w:rPr/>
        <w:t>Section 13.2</w:t>
      </w:r>
    </w:p>
    <w:p>
      <w:pPr>
        <w:pStyle w:val="Normal"/>
        <w:rPr/>
      </w:pPr>
      <w:r>
        <w:rPr>
          <w:b/>
        </w:rPr>
        <w:t>Make</w:t>
      </w:r>
      <w:r>
        <w:rPr/>
        <w:t xml:space="preserve"> Cover Standard</w:t>
      </w:r>
    </w:p>
    <w:p>
      <w:pPr>
        <w:pStyle w:val="Normal"/>
        <w:rPr/>
      </w:pPr>
      <w:r>
        <w:rPr/>
      </w:r>
    </w:p>
    <w:p>
      <w:pPr>
        <w:pStyle w:val="Heading1"/>
        <w:ind w:hanging="0" w:start="0"/>
        <w:rPr/>
      </w:pPr>
      <w:r>
        <w:rPr/>
        <w:t>Section 2 Definitions of GISB Contract</w:t>
      </w:r>
    </w:p>
    <w:p>
      <w:pPr>
        <w:pStyle w:val="Normal"/>
        <w:rPr/>
      </w:pPr>
      <w:r>
        <w:rPr/>
      </w:r>
    </w:p>
    <w:p>
      <w:pPr>
        <w:pStyle w:val="Normal"/>
        <w:rPr/>
      </w:pPr>
      <w:r>
        <w:rPr>
          <w:b/>
        </w:rPr>
        <w:t>Change</w:t>
      </w:r>
      <w:r>
        <w:rPr/>
        <w:t xml:space="preserve"> Business Day definition to “shall mean any day except Saturday, Sunday, or statutory or banking holiday observed in the jurisdiction specified pursuant to Section 13.5”.</w:t>
      </w:r>
    </w:p>
    <w:p>
      <w:pPr>
        <w:pStyle w:val="Normal"/>
        <w:rPr/>
      </w:pPr>
      <w:r>
        <w:rPr/>
      </w:r>
    </w:p>
    <w:p>
      <w:pPr>
        <w:pStyle w:val="Heading2"/>
        <w:ind w:hanging="0" w:start="0"/>
        <w:rPr/>
      </w:pPr>
      <w:r>
        <w:rPr/>
        <w:t>Other Changes</w:t>
      </w:r>
    </w:p>
    <w:p>
      <w:pPr>
        <w:pStyle w:val="Header"/>
        <w:tabs>
          <w:tab w:val="clear" w:pos="4320"/>
          <w:tab w:val="clear" w:pos="8640"/>
        </w:tabs>
        <w:rPr/>
      </w:pPr>
      <w:r>
        <w:rPr/>
      </w:r>
    </w:p>
    <w:p>
      <w:pPr>
        <w:pStyle w:val="Heading1"/>
        <w:ind w:hanging="0" w:start="0"/>
        <w:rPr/>
      </w:pPr>
      <w:r>
        <w:rPr/>
        <w:t>Delete Appendix I first paragraph</w:t>
      </w:r>
      <w:r>
        <w:rPr>
          <w:b w:val="false"/>
        </w:rPr>
        <w:t xml:space="preserve"> of “In order to clarify the intentions of both Parties….”</w:t>
      </w:r>
    </w:p>
    <w:p>
      <w:pPr>
        <w:pStyle w:val="Heading1"/>
        <w:ind w:hanging="0" w:start="0"/>
        <w:rPr>
          <w:b w:val="false"/>
        </w:rPr>
      </w:pPr>
      <w:r>
        <w:rPr>
          <w:b w:val="false"/>
        </w:rPr>
      </w:r>
    </w:p>
    <w:p>
      <w:pPr>
        <w:pStyle w:val="Heading1"/>
        <w:ind w:hanging="0" w:start="0"/>
        <w:rPr/>
      </w:pPr>
      <w:r>
        <w:rPr/>
        <w:t xml:space="preserve">Section 7.2 </w:t>
      </w:r>
    </w:p>
    <w:p>
      <w:pPr>
        <w:pStyle w:val="Normal"/>
        <w:rPr/>
      </w:pPr>
      <w:r>
        <w:rPr>
          <w:b/>
        </w:rPr>
        <w:t xml:space="preserve">Change </w:t>
      </w:r>
      <w:r>
        <w:rPr/>
        <w:t xml:space="preserve"> “…. If the payment date is not a Business Day, payment is due on the next Business Day following that date”   </w:t>
      </w:r>
      <w:r>
        <w:rPr>
          <w:b/>
        </w:rPr>
        <w:t>TO</w:t>
      </w:r>
      <w:r>
        <w:rPr/>
        <w:t xml:space="preserve">  “If the Payment Date is not a Business Day, payment is due on the </w:t>
      </w:r>
      <w:r>
        <w:rPr>
          <w:b/>
        </w:rPr>
        <w:t>preceding</w:t>
      </w:r>
      <w:r>
        <w:rPr/>
        <w:t xml:space="preserve"> business day”.</w:t>
      </w:r>
    </w:p>
    <w:p>
      <w:pPr>
        <w:pStyle w:val="Normal"/>
        <w:rPr/>
      </w:pPr>
      <w:r>
        <w:rPr/>
      </w:r>
    </w:p>
    <w:p>
      <w:pPr>
        <w:pStyle w:val="Heading1"/>
        <w:ind w:hanging="0" w:start="0"/>
        <w:rPr/>
      </w:pPr>
      <w:r>
        <w:rPr/>
        <w:t>Add Section 7.5  (Netting)</w:t>
      </w:r>
    </w:p>
    <w:p>
      <w:pPr>
        <w:pStyle w:val="Normal"/>
        <w:rPr/>
      </w:pPr>
      <w:r>
        <w:rPr/>
      </w:r>
    </w:p>
    <w:p>
      <w:pPr>
        <w:pStyle w:val="Normal"/>
        <w:rPr/>
      </w:pPr>
      <w:r>
        <w:rPr/>
        <w:t>If Buyer and Seller are each required to pay an amount under the terms of the Agreement in the same Month, then such amounts, with respect to each Party, will be aggregated and the Parties will discharge their obligations to pay through netting, in which case the Party, owing the greater amount will pay to the other Party the difference between the amounts owed.</w:t>
      </w:r>
    </w:p>
    <w:p>
      <w:pPr>
        <w:pStyle w:val="Normal"/>
        <w:rPr/>
      </w:pPr>
      <w:r>
        <w:rPr/>
      </w:r>
    </w:p>
    <w:p>
      <w:pPr>
        <w:pStyle w:val="Heading1"/>
        <w:ind w:hanging="0" w:start="0"/>
        <w:rPr/>
      </w:pPr>
      <w:r>
        <w:rPr/>
      </w:r>
    </w:p>
    <w:p>
      <w:pPr>
        <w:pStyle w:val="Heading1"/>
        <w:ind w:hanging="0" w:start="0"/>
        <w:rPr/>
      </w:pPr>
      <w:r>
        <w:rPr/>
        <w:t xml:space="preserve">Section 10.1 </w:t>
      </w:r>
    </w:p>
    <w:p>
      <w:pPr>
        <w:pStyle w:val="Normal"/>
        <w:rPr/>
      </w:pPr>
      <w:r>
        <w:rPr>
          <w:b/>
        </w:rPr>
        <w:t>Insert</w:t>
      </w:r>
      <w:r>
        <w:rPr/>
        <w:t xml:space="preserve"> the following clause in Section</w:t>
      </w:r>
    </w:p>
    <w:p>
      <w:pPr>
        <w:pStyle w:val="Normal"/>
        <w:rPr/>
      </w:pPr>
      <w:r>
        <w:rPr/>
      </w:r>
    </w:p>
    <w:p>
      <w:pPr>
        <w:pStyle w:val="Heading1"/>
        <w:ind w:hanging="0" w:start="0"/>
        <w:rPr>
          <w:b w:val="false"/>
        </w:rPr>
      </w:pPr>
      <w:r>
        <w:rPr>
          <w:b w:val="false"/>
        </w:rPr>
        <w:t>For the purposes of this agreement, “reasonable grounds for insecurity of payment” arise with respect to a Party shall mean the downgrading of any unsecured, long-term, senior debt of such Party or any entity providing a guarantee or other form of credit support for the obligations of such Party, such that such debt is rated below “BBB-“ by Canadian Bond Rating Services (“CBRS”), BBB (low) by Dominion Bond Rating Services (“DBRS”), “BBB-“ by Standard &amp; Poors, or “Baa3” by Moody’s Investors Service, Inc.</w:t>
      </w:r>
      <w:r>
        <w:br w:type="page"/>
      </w:r>
    </w:p>
    <w:p>
      <w:pPr>
        <w:pStyle w:val="Normal"/>
        <w:rPr>
          <w:b/>
        </w:rPr>
      </w:pPr>
      <w:r>
        <w:rPr>
          <w:b/>
        </w:rPr>
        <w:t>Section 10.3</w:t>
      </w:r>
    </w:p>
    <w:p>
      <w:pPr>
        <w:pStyle w:val="Normal"/>
        <w:rPr/>
      </w:pPr>
      <w:r>
        <w:rPr/>
        <w:t>Add the following clause in Section</w:t>
      </w:r>
    </w:p>
    <w:p>
      <w:pPr>
        <w:pStyle w:val="Normal"/>
        <w:rPr/>
      </w:pPr>
      <w:r>
        <w:rPr/>
      </w:r>
    </w:p>
    <w:p>
      <w:pPr>
        <w:pStyle w:val="Normal"/>
        <w:rPr/>
      </w:pPr>
      <w:r>
        <w:rPr/>
        <w:t>If the party requesting the standby irrevocable letter of credit, a prepayment, or a performance bond or guarantee by a creditworthy entity has not received such from the other party within five (5) Business Days after such request, the requesting party may immediately, and without notice, suspend delivery of natural gas hereunder.</w:t>
      </w:r>
    </w:p>
    <w:p>
      <w:pPr>
        <w:pStyle w:val="Normal"/>
        <w:rPr/>
      </w:pPr>
      <w:r>
        <w:rPr/>
      </w:r>
    </w:p>
    <w:p>
      <w:pPr>
        <w:pStyle w:val="Normal"/>
        <w:rPr/>
      </w:pPr>
      <w:r>
        <w:rPr/>
      </w:r>
    </w:p>
    <w:p>
      <w:pPr>
        <w:pStyle w:val="Heading1"/>
        <w:ind w:hanging="0" w:start="0"/>
        <w:rPr/>
      </w:pPr>
      <w:r>
        <w:rPr/>
        <w:t>Section 13.5 GISB</w:t>
      </w:r>
    </w:p>
    <w:p>
      <w:pPr>
        <w:pStyle w:val="Normal"/>
        <w:rPr/>
      </w:pPr>
      <w:r>
        <w:rPr>
          <w:b/>
        </w:rPr>
        <w:t>Revise</w:t>
      </w:r>
      <w:r>
        <w:rPr/>
        <w:t xml:space="preserve"> as follows</w:t>
      </w:r>
    </w:p>
    <w:p>
      <w:pPr>
        <w:pStyle w:val="Normal"/>
        <w:rPr/>
      </w:pPr>
      <w:r>
        <w:rPr/>
      </w:r>
    </w:p>
    <w:p>
      <w:pPr>
        <w:pStyle w:val="Normal"/>
        <w:rPr/>
      </w:pPr>
      <w:r>
        <w:rPr/>
        <w:t>The interpretation and performance of this Contract shall be governed by the laws of the Province specified by the parties in the Base Contract, excluding, however, any conflict of laws rules which would apply the law of another jurisdiction, and the parties hereby attorn to the exclusive jurisdiction of the courts of the Province of British Columbia.</w:t>
      </w:r>
    </w:p>
    <w:p>
      <w:pPr>
        <w:pStyle w:val="Normal"/>
        <w:rPr/>
      </w:pPr>
      <w:r>
        <w:rPr/>
      </w:r>
    </w:p>
    <w:p>
      <w:pPr>
        <w:pStyle w:val="Heading1"/>
        <w:ind w:hanging="0" w:start="0"/>
        <w:rPr/>
      </w:pPr>
      <w:r>
        <w:rPr/>
        <w:t>Section 13.6 GISB</w:t>
      </w:r>
    </w:p>
    <w:p>
      <w:pPr>
        <w:pStyle w:val="Normal"/>
        <w:rPr/>
      </w:pPr>
      <w:r>
        <w:rPr>
          <w:b/>
        </w:rPr>
        <w:t>Revise</w:t>
      </w:r>
      <w:r>
        <w:rPr/>
        <w:t xml:space="preserve"> as follows</w:t>
      </w:r>
    </w:p>
    <w:p>
      <w:pPr>
        <w:pStyle w:val="Normal"/>
        <w:rPr/>
      </w:pPr>
      <w:r>
        <w:rPr/>
      </w:r>
    </w:p>
    <w:p>
      <w:pPr>
        <w:pStyle w:val="Normal"/>
        <w:rPr/>
      </w:pPr>
      <w:r>
        <w:rPr/>
        <w:t>This Contract and all provisions herein will be subject to all applicable and valid statutes, rules, orders and regulations of any Federal, Provincial, State, or local governmental authority having jurisdiction over the parties, their facilities, or Gas supply, this Contract or Transaction Confirmation or any provisions thereof.</w:t>
      </w:r>
    </w:p>
    <w:p>
      <w:pPr>
        <w:pStyle w:val="Normal"/>
        <w:rPr/>
      </w:pPr>
      <w:r>
        <w:rPr/>
      </w:r>
    </w:p>
    <w:p>
      <w:pPr>
        <w:pStyle w:val="Heading1"/>
        <w:ind w:hanging="0" w:start="0"/>
        <w:rPr/>
      </w:pPr>
      <w:r>
        <w:rPr/>
        <w:t>Article 14 – Events of Default</w:t>
      </w:r>
    </w:p>
    <w:p>
      <w:pPr>
        <w:pStyle w:val="Normal"/>
        <w:rPr/>
      </w:pPr>
      <w:r>
        <w:rPr/>
        <w:t>Add the following as Section 14:  “Triggering Event” shall mean, with respect to Party (“the Defaulting Party”): (i) the failure by the Defaulting party to make, when due, any payment required under this Contract or to perform any other covenant set forth herein (except for any failure to deliver or receive Gas for which there is a specific remedy provided), if such failure is not remedied within five (5) Business Days after written notice of such failure is given to the Defaulting Party; (ii) any representation or warranty made by the Defaulting Party in this Contract shall prove to have been false or misleading in any material respect; (iii) the Defaulting Party shall (a) make an assignment or any general arrangement for the benefit of creditors, (b) file a petition or otherwise commence, authorize or acquiesce in the commencement of a proceeding or cause under any bankruptcy or similar law for protection of creditors, or have such petition filed against it and such proceedings remains undismissed for 30 days, (c) otherwise become bankrupt or insolvent (however evidenced), (d) be unable to pay its debt as they fall due, or (e) have a liquidator, administrator, receiver, trustee, conservator or similar official appointed with respect to it or any substantial portion of its property or assets.</w:t>
      </w:r>
    </w:p>
    <w:p>
      <w:pPr>
        <w:pStyle w:val="Normal"/>
        <w:rPr/>
      </w:pPr>
      <w:r>
        <w:rPr/>
      </w:r>
      <w:r>
        <w:br w:type="page"/>
      </w:r>
    </w:p>
    <w:p>
      <w:pPr>
        <w:pStyle w:val="Normal"/>
        <w:rPr/>
      </w:pPr>
      <w:r>
        <w:rPr/>
        <w:t>If a Trigger Event occurs with respect to either Party during a Period of Delivery, the Non-Defaulting Party may upon two (2) Business Days written notice to the Defaulting Party, establish a date on which all Transactions governed by the Contract will terminate (“Early Termination Date”), shall not be earlier than the 3</w:t>
      </w:r>
      <w:r>
        <w:rPr>
          <w:vertAlign w:val="superscript"/>
        </w:rPr>
        <w:t>rd</w:t>
      </w:r>
      <w:r>
        <w:rPr/>
        <w:t xml:space="preserve"> Business Day following the date on which the termination notice is served and withhold any payments then due; provided, upon the occurrence of any Triggering Event listed in item (iii) above all Transactions and the Contract in respect thereof shall automatically terminate without notice, as if an Early Date Termination Date had been declared immediately prior to such event.  If an Early Termination Date occurs, the Non-Defaulting Party shall in good faith calculate its damages, including its associated costs and legal fees, resulting from the termination of all Firm Transactions discounted to present value (the “Termination Payment”).  The Termination Payment will be determined by (i) comparing the value of (a) the remaining Period of Delivery, Contract Quantity and price under each Firm Transaction as quoted by a bona fide third party offer or which is reasonably expected to be available in the market and (ii) ascertaining the associated costs and legal fees.  All terminated Firm transactions shall be netted against each other and upon netting, the party owing the Termination Payment shall pay the other party within five (5) Business Days of receiving notice of the amount of the Termination Payment.  At the time of payment of any Termination Payment, each party shall pay to the other party all additional amounts payable by it pursuant to the Contract, but all such amounts shall be netted and aggregated with any Termination Payment payable hereunder.</w:t>
      </w:r>
    </w:p>
    <w:p>
      <w:pPr>
        <w:pStyle w:val="Normal"/>
        <w:rPr/>
      </w:pPr>
      <w:r>
        <w:rPr/>
      </w:r>
    </w:p>
    <w:p>
      <w:pPr>
        <w:pStyle w:val="Normal"/>
        <w:rPr/>
      </w:pPr>
      <w:r>
        <w:rPr/>
        <w:t>The Non-Defaulting Party’s rights under this Article are in addition to, and not in limitation or exclusion of any other rights the Non-Defaulting Party may have (whether by contract, operation of law or otherwise)</w:t>
      </w:r>
    </w:p>
    <w:p>
      <w:pPr>
        <w:pStyle w:val="Normal"/>
        <w:rPr/>
      </w:pPr>
      <w:r>
        <w:rPr/>
      </w:r>
    </w:p>
    <w:p>
      <w:pPr>
        <w:pStyle w:val="Normal"/>
        <w:rPr/>
      </w:pPr>
      <w:r>
        <w:rPr/>
        <w:t>The Non-Defaulting Party shall give notice that a liquidation pursuant to this Article has occurred to the Defaulting Party on the Business Day following such liquidation, provided that failure to give such notice shall not affect the validity or enforceability of the liquidation or give rise to any claim by the Defaulting Party against the Non-Defaulting Party.  Nothing in this Section shall be construed to relieve the Non-Defaulting Party of its obligation to give prior notice of default.</w:t>
      </w:r>
    </w:p>
    <w:p>
      <w:pPr>
        <w:pStyle w:val="Normal"/>
        <w:rPr/>
      </w:pPr>
      <w:r>
        <w:rPr/>
      </w:r>
    </w:p>
    <w:p>
      <w:pPr>
        <w:pStyle w:val="Normal"/>
        <w:rPr/>
      </w:pPr>
      <w:r>
        <w:rPr/>
        <w:t>If a termination and liquidation of transactions occurs, the Non-Defaulting Party may from time to time set off any or all amounts which the Defaulting Party owes to the Non-Defaulting Party (whether under the Contract or otherwise and whether or not then due) against any or all amounts which it owes to the Defaulting Party (whether under the Contract or under any other agreements between the parties and whether or not then due) provided that any amount not then due which is included in such set off shall be discounted to present value at the time of set off (taking into account the period between the date of set off and the date on which such amount would have otherwise been due).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Enronnorthamericaamendments.doc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2000-12-06T19:10:00Z</dcterms:created>
  <dc:creator>JWong</dc:creator>
  <dc:description/>
  <dc:language>en-CA</dc:language>
  <cp:lastModifiedBy>JWong</cp:lastModifiedBy>
  <cp:lastPrinted>2000-11-29T17:18:00Z</cp:lastPrinted>
  <dcterms:modified xsi:type="dcterms:W3CDTF">2000-12-06T21:14:00Z</dcterms:modified>
  <cp:revision>8</cp:revision>
  <dc:subject/>
  <dc:title>Special Provisions Amendment</dc:title>
</cp:coreProperties>
</file>