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2001,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FIMAT USA, Inc., whose address is </w:t>
      </w:r>
      <w:r>
        <w:rPr>
          <w:sz w:val="22"/>
          <w:u w:val="single"/>
        </w:rPr>
        <w:tab/>
        <w:tab/>
        <w:tab/>
        <w:tab/>
        <w:tab/>
        <w:tab/>
      </w:r>
      <w:r>
        <w:rPr>
          <w:sz w:val="22"/>
        </w:rPr>
        <w:t xml:space="preserve"> ("FIMAT”), shall be purchasing and selling commodity futures contracts, options on commodity futures contracts, foreign futures contracts, options on foreign futures contracts, securities and securities options, derivative instruments, spot and forward contracts, physical commodities, cash and other properties and options thereon and/or currencies and foreign exchange contracts and options thereon (collectively defined as “Transactions”), as agent for ENRON NORTH AMERICA CORP., a Delaware corporation (“Enron”), a wholly owned subsidiary of Guarantor, in accordance with the oral or written instructions of Enron, pursuant to a Customer Agreement dated as of December 15, 2000, as the same may be amended, extended, renewed, or otherwise modified from time to time,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FIMAT.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FIMAT under the Contract.  This Guaranty shall constitute a guarantee of payment and not of collection.  The liability of Guarantor under this Guaranty shall be subject to the following:</w:t>
      </w:r>
    </w:p>
    <w:p>
      <w:pPr>
        <w:pStyle w:val="BodyTextIndent3"/>
        <w:widowControl w:val="false"/>
        <w:numPr>
          <w:ilvl w:val="0"/>
          <w:numId w:val="3"/>
        </w:numPr>
        <w:spacing w:lineRule="exact" w:line="240" w:before="240" w:after="0"/>
        <w:rPr/>
      </w:pPr>
      <w:r>
        <w:rPr/>
        <w:t>Guarantor’s liability hereunder shall be and is specifically limited to payments expressly required to be made under the Contract (even if such payments are deemed to be damages) and, in no event shall Guarantor be subject hereunder to consequential, exemplary, equitable, loss of profits, punitive, tort, or any other indirect damages.</w:t>
      </w:r>
    </w:p>
    <w:p>
      <w:pPr>
        <w:pStyle w:val="BodyTextIndent3"/>
        <w:widowControl w:val="false"/>
        <w:numPr>
          <w:ilvl w:val="0"/>
          <w:numId w:val="3"/>
        </w:numPr>
        <w:spacing w:lineRule="exact" w:line="240" w:before="240" w:after="0"/>
        <w:rPr>
          <w:b/>
          <w:color w:val="000000"/>
        </w:rPr>
      </w:pPr>
      <w:r>
        <w:rPr>
          <w:b/>
          <w:color w:val="000000"/>
        </w:rPr>
        <w:t xml:space="preserve">The aggregate amount covered by this Guaranty shall be Twenty (20) Million U.S. Dollars ($20,000,000). </w:t>
      </w:r>
    </w:p>
    <w:p>
      <w:pPr>
        <w:pStyle w:val="Normal"/>
        <w:spacing w:lineRule="atLeast" w:line="240"/>
        <w:jc w:val="both"/>
        <w:rPr>
          <w:b/>
          <w:color w:val="000000"/>
          <w:sz w:val="22"/>
          <w:u w:val="single"/>
        </w:rPr>
      </w:pPr>
      <w:r>
        <w:rPr>
          <w:b/>
          <w:color w:val="000000"/>
          <w:sz w:val="22"/>
          <w:u w:val="single"/>
        </w:rPr>
      </w:r>
    </w:p>
    <w:p>
      <w:pPr>
        <w:pStyle w:val="Normal"/>
        <w:spacing w:lineRule="atLeast" w:line="240"/>
        <w:ind w:firstLine="720" w:end="0"/>
        <w:jc w:val="both"/>
        <w:rPr/>
      </w:pPr>
      <w:r>
        <w:rPr>
          <w:sz w:val="22"/>
        </w:rPr>
        <w:t xml:space="preserve">2.  </w:t>
      </w:r>
      <w:r>
        <w:rPr>
          <w:sz w:val="22"/>
          <w:u w:val="single"/>
        </w:rPr>
        <w:t>DEMANDS AND NOTICE</w:t>
      </w:r>
      <w:r>
        <w:rPr>
          <w:sz w:val="22"/>
        </w:rPr>
        <w:t>.  If for any reason Enron fails to pay any Obligations and FIMAT has elected to exercise its rights under this Guaranty, FIMAT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FIMAT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All payments by Guarantor under this Guaranty shall be made by wire transfer of immediately available funds in U.S. dollars to a bank account designated by FIMAT.  As used herein, the term “Business Day” shall mean a day on which commercial banks are open for business in Housotn,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sz w:val="22"/>
        </w:rPr>
        <w:t xml:space="preserve">(c)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w:t>
      </w:r>
      <w:r>
        <w:rPr>
          <w:b/>
          <w:sz w:val="22"/>
        </w:rPr>
        <w:t>However this Guaranty shall continue to be effective or shall be reinstated if at any time payment of any sum guaranteed is rendered void or ordered to be returned by FIMAT upon the bankruptcy of Enron or otherwise.</w:t>
      </w:r>
    </w:p>
    <w:p>
      <w:pPr>
        <w:pStyle w:val="Normal"/>
        <w:spacing w:lineRule="atLeast" w:line="240"/>
        <w:jc w:val="both"/>
        <w:rPr>
          <w:b/>
          <w:sz w:val="22"/>
        </w:rPr>
      </w:pPr>
      <w:r>
        <w:rPr>
          <w:b/>
          <w:sz w:val="22"/>
        </w:rPr>
      </w:r>
    </w:p>
    <w:p>
      <w:pPr>
        <w:pStyle w:val="Normal"/>
        <w:numPr>
          <w:ilvl w:val="0"/>
          <w:numId w:val="2"/>
        </w:numPr>
        <w:tabs>
          <w:tab w:val="clear" w:pos="720"/>
          <w:tab w:val="left" w:pos="-1350" w:leader="none"/>
        </w:tabs>
        <w:spacing w:lineRule="atLeast" w:line="240"/>
        <w:ind w:firstLine="720" w:start="0" w:end="0"/>
        <w:jc w:val="both"/>
        <w:rPr>
          <w:b/>
          <w:sz w:val="22"/>
        </w:rPr>
      </w:pPr>
      <w:r>
        <w:rPr>
          <w:b/>
          <w:sz w:val="22"/>
          <w:u w:val="single"/>
        </w:rPr>
        <w:t>SETOFFS AND COUNTERCLAIMS</w:t>
      </w:r>
      <w:r>
        <w:rPr>
          <w:b/>
          <w:sz w:val="22"/>
        </w:rPr>
        <w:t>. Guarantor agrees that it shall pay its obligations hereunder without deduction or set off.</w:t>
      </w:r>
    </w:p>
    <w:p>
      <w:pPr>
        <w:pStyle w:val="Normal"/>
        <w:spacing w:lineRule="atLeast" w:line="240"/>
        <w:ind w:start="720" w:end="0"/>
        <w:jc w:val="both"/>
        <w:rPr>
          <w:rFonts w:eastAsia="Tms Rmn"/>
          <w:sz w:val="22"/>
        </w:rPr>
      </w:pPr>
      <w:r>
        <w:rPr>
          <w:rFonts w:eastAsia="Tms Rmn"/>
          <w:sz w:val="22"/>
        </w:rPr>
        <w:t xml:space="preserve"> </w:t>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FIMAT.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xml:space="preserve">.  Guarantor hereby waives (a) notice of acceptance of this Guaranty or any other notice of any kind other than a Payment Demand; (b) presentment and demand concerning the liabilities of Guarantor, except as expressly hereinabove set forth; and (c) any right to require that any action or proceeding be brought against Enron or any other person, </w:t>
      </w:r>
      <w:r>
        <w:rPr>
          <w:color w:val="000000"/>
          <w:sz w:val="22"/>
        </w:rPr>
        <w:t xml:space="preserve">or </w:t>
      </w:r>
      <w:r>
        <w:rPr>
          <w:b/>
          <w:i/>
          <w:color w:val="000000"/>
          <w:sz w:val="22"/>
        </w:rPr>
        <w:t>except as expressly hereinabove set forth, to require that Bank seek enforcement of any performance against Enron or any other person, or against any property or collateral, prior to any action against Guarantor under the terms hereof</w:t>
      </w:r>
      <w:r>
        <w:rPr>
          <w:sz w:val="22"/>
        </w:rPr>
        <w:t xml:space="preserve">. </w:t>
      </w:r>
      <w:r>
        <w:rPr>
          <w:b/>
          <w:i/>
          <w:sz w:val="22"/>
        </w:rPr>
        <w:t>PLEASE EXPLAIN THE BOLDED italicized LANGUAGE.</w:t>
      </w:r>
    </w:p>
    <w:p>
      <w:pPr>
        <w:pStyle w:val="Normal"/>
        <w:spacing w:lineRule="atLeast" w:line="240"/>
        <w:ind w:firstLine="720" w:end="0"/>
        <w:jc w:val="both"/>
        <w:rPr>
          <w:b/>
          <w:i/>
          <w:i/>
          <w:sz w:val="22"/>
        </w:rPr>
      </w:pPr>
      <w:r>
        <w:rPr>
          <w:b/>
          <w:i/>
          <w:sz w:val="22"/>
        </w:rPr>
      </w:r>
    </w:p>
    <w:p>
      <w:pPr>
        <w:pStyle w:val="Normal"/>
        <w:spacing w:lineRule="atLeast" w:line="240"/>
        <w:ind w:firstLine="720" w:end="0"/>
        <w:jc w:val="both"/>
        <w:rPr>
          <w:sz w:val="22"/>
        </w:rPr>
      </w:pPr>
      <w:r>
        <w:rPr>
          <w:sz w:val="22"/>
        </w:rPr>
        <w:t>Except as to applicable statutes of limitation, no delay of FIMAT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FIMAT and upon the effectiveness of such termination, Guarantor shall have no further liability hereunder, except as provided in the last sentence of this paragraph.  No such termination shall be effective until five (5) Business Days after receipt by FIMAT of such termination notice.  No such termination shall affect Guarantor's liability with respect to any Transaction executed prior to the time the termination is effective, which Transaction shall remain guaranteed pursuant to the terms of this Guaranty.</w:t>
      </w:r>
      <w:r>
        <w:br w:type="page"/>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FIMAT:</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FIMAT USA, Inc.</w:t>
            </w:r>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b/>
                <w:color w:val="000000"/>
                <w:sz w:val="22"/>
              </w:rPr>
            </w:pPr>
            <w:r>
              <w:rPr>
                <w:b/>
                <w:color w:val="000000"/>
                <w:sz w:val="22"/>
              </w:rPr>
              <w:t>630 Fifth Avenue</w:t>
            </w:r>
          </w:p>
        </w:tc>
        <w:tc>
          <w:tcPr>
            <w:tcW w:w="1530" w:type="dxa"/>
            <w:tcBorders/>
          </w:tcPr>
          <w:p>
            <w:pPr>
              <w:pStyle w:val="Normal"/>
              <w:keepNext w:val="true"/>
              <w:keepLines/>
              <w:snapToGrid w:val="false"/>
              <w:spacing w:lineRule="atLeast" w:line="240"/>
              <w:rPr>
                <w:b/>
                <w:color w:val="000000"/>
                <w:sz w:val="22"/>
              </w:rPr>
            </w:pPr>
            <w:r>
              <w:rPr>
                <w:b/>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b/>
                <w:color w:val="000000"/>
                <w:sz w:val="22"/>
              </w:rPr>
            </w:pPr>
            <w:r>
              <w:rPr>
                <w:b/>
                <w:color w:val="000000"/>
                <w:sz w:val="22"/>
              </w:rPr>
              <w:t>New York, New York 10111</w:t>
            </w:r>
          </w:p>
        </w:tc>
        <w:tc>
          <w:tcPr>
            <w:tcW w:w="1530" w:type="dxa"/>
            <w:tcBorders/>
          </w:tcPr>
          <w:p>
            <w:pPr>
              <w:pStyle w:val="Normal"/>
              <w:keepNext w:val="true"/>
              <w:keepLines/>
              <w:snapToGrid w:val="false"/>
              <w:spacing w:lineRule="atLeast" w:line="240"/>
              <w:rPr>
                <w:b/>
                <w:color w:val="000000"/>
                <w:sz w:val="22"/>
              </w:rPr>
            </w:pPr>
            <w:r>
              <w:rPr>
                <w:b/>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b/>
                <w:color w:val="000000"/>
                <w:sz w:val="22"/>
              </w:rPr>
            </w:pPr>
            <w:r>
              <w:rPr>
                <w:b/>
                <w:sz w:val="22"/>
              </w:rPr>
              <w:t>Attn:  S. Forman and marked “URGENT”</w:t>
            </w:r>
          </w:p>
        </w:tc>
        <w:tc>
          <w:tcPr>
            <w:tcW w:w="1530" w:type="dxa"/>
            <w:tcBorders/>
          </w:tcPr>
          <w:p>
            <w:pPr>
              <w:pStyle w:val="Normal"/>
              <w:keepNext w:val="true"/>
              <w:keepLines/>
              <w:snapToGrid w:val="false"/>
              <w:spacing w:lineRule="atLeast" w:line="240"/>
              <w:rPr>
                <w:b/>
                <w:color w:val="000000"/>
                <w:sz w:val="22"/>
              </w:rPr>
            </w:pPr>
            <w:r>
              <w:rPr>
                <w:b/>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sz w:val="22"/>
              </w:rPr>
              <w:t>Fax:  (646) 557-8480</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keepNext w:val="true"/>
        <w:spacing w:before="240" w:after="0"/>
        <w:jc w:val="both"/>
        <w:rPr>
          <w:sz w:val="22"/>
        </w:rPr>
      </w:pPr>
      <w:r>
        <w:rPr>
          <w:sz w:val="22"/>
        </w:rPr>
        <w:t>A copy of any Notice sent to FIMAT pursuant hereto must also be sent to the following:</w:t>
      </w:r>
    </w:p>
    <w:p>
      <w:pPr>
        <w:pStyle w:val="Normal"/>
        <w:jc w:val="both"/>
        <w:rPr/>
      </w:pPr>
      <w:r>
        <w:rPr/>
        <w:tab/>
        <w:tab/>
      </w:r>
    </w:p>
    <w:tbl>
      <w:tblPr>
        <w:tblW w:w="1908" w:type="dxa"/>
        <w:jc w:val="start"/>
        <w:tblInd w:w="0" w:type="dxa"/>
        <w:tblLayout w:type="fixed"/>
        <w:tblCellMar>
          <w:top w:w="0" w:type="dxa"/>
          <w:start w:w="108" w:type="dxa"/>
          <w:bottom w:w="0" w:type="dxa"/>
          <w:end w:w="108" w:type="dxa"/>
        </w:tblCellMar>
      </w:tblPr>
      <w:tblGrid>
        <w:gridCol w:w="1908"/>
      </w:tblGrid>
      <w:tr>
        <w:trPr/>
        <w:tc>
          <w:tcPr>
            <w:tcW w:w="1908" w:type="dxa"/>
            <w:tcBorders/>
          </w:tcPr>
          <w:p>
            <w:pPr>
              <w:pStyle w:val="Normal"/>
              <w:keepNext w:val="true"/>
              <w:keepLines/>
              <w:tabs>
                <w:tab w:val="clear" w:pos="720"/>
                <w:tab w:val="left" w:pos="3132" w:leader="none"/>
              </w:tabs>
              <w:spacing w:lineRule="atLeast" w:line="240"/>
              <w:rPr>
                <w:color w:val="000000"/>
                <w:sz w:val="22"/>
              </w:rPr>
            </w:pPr>
            <w:r>
              <w:rPr>
                <w:color w:val="000000"/>
                <w:sz w:val="22"/>
              </w:rPr>
              <w:t>FIMAT USA, Inc.</w:t>
            </w:r>
          </w:p>
        </w:tc>
      </w:tr>
      <w:tr>
        <w:trPr/>
        <w:tc>
          <w:tcPr>
            <w:tcW w:w="1908" w:type="dxa"/>
            <w:tcBorders/>
          </w:tcPr>
          <w:p>
            <w:pPr>
              <w:pStyle w:val="Normal"/>
              <w:keepNext w:val="true"/>
              <w:keepLines/>
              <w:tabs>
                <w:tab w:val="clear" w:pos="720"/>
                <w:tab w:val="left" w:pos="3132" w:leader="none"/>
              </w:tabs>
              <w:spacing w:lineRule="atLeast" w:line="240"/>
              <w:rPr>
                <w:color w:val="000000"/>
                <w:sz w:val="22"/>
              </w:rPr>
            </w:pPr>
            <w:r>
              <w:rPr>
                <w:color w:val="000000"/>
                <w:sz w:val="22"/>
              </w:rPr>
              <w:t>630 Fifth Avenue</w:t>
            </w:r>
          </w:p>
        </w:tc>
      </w:tr>
      <w:tr>
        <w:trPr/>
        <w:tc>
          <w:tcPr>
            <w:tcW w:w="1908"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10111</w:t>
            </w:r>
          </w:p>
        </w:tc>
      </w:tr>
      <w:tr>
        <w:trPr/>
        <w:tc>
          <w:tcPr>
            <w:tcW w:w="1908" w:type="dxa"/>
            <w:tcBorders/>
          </w:tcPr>
          <w:p>
            <w:pPr>
              <w:pStyle w:val="Normal"/>
              <w:keepNext w:val="true"/>
              <w:keepLines/>
              <w:tabs>
                <w:tab w:val="clear" w:pos="720"/>
                <w:tab w:val="left" w:pos="3132" w:leader="none"/>
              </w:tabs>
              <w:spacing w:lineRule="atLeast" w:line="240"/>
              <w:rPr>
                <w:color w:val="000000"/>
                <w:sz w:val="22"/>
              </w:rPr>
            </w:pPr>
            <w:r>
              <w:rPr>
                <w:sz w:val="22"/>
              </w:rPr>
              <w:t>Attn:  General Counsel and marked “URGENT”</w:t>
            </w:r>
          </w:p>
        </w:tc>
      </w:tr>
      <w:tr>
        <w:trPr/>
        <w:tc>
          <w:tcPr>
            <w:tcW w:w="1908" w:type="dxa"/>
            <w:tcBorders/>
          </w:tcPr>
          <w:p>
            <w:pPr>
              <w:pStyle w:val="Normal"/>
              <w:keepNext w:val="true"/>
              <w:keepLines/>
              <w:tabs>
                <w:tab w:val="clear" w:pos="720"/>
                <w:tab w:val="left" w:pos="3132" w:leader="none"/>
              </w:tabs>
              <w:spacing w:lineRule="atLeast" w:line="240"/>
              <w:rPr>
                <w:color w:val="000000"/>
                <w:sz w:val="22"/>
              </w:rPr>
            </w:pPr>
            <w:r>
              <w:rPr>
                <w:sz w:val="22"/>
              </w:rPr>
              <w:t>Fax:  (646) 557-8519</w:t>
              <w:tab/>
            </w:r>
          </w:p>
        </w:tc>
      </w:tr>
    </w:tbl>
    <w:p>
      <w:pPr>
        <w:pStyle w:val="Normal"/>
        <w:jc w:val="both"/>
        <w:rPr>
          <w:sz w:val="22"/>
        </w:rPr>
      </w:pPr>
      <w:r>
        <w:rPr>
          <w:sz w:val="22"/>
        </w:rPr>
      </w:r>
    </w:p>
    <w:p>
      <w:pPr>
        <w:pStyle w:val="BodyTextIndent"/>
        <w:spacing w:lineRule="atLeast" w:line="240"/>
        <w:ind w:hanging="0" w:end="0"/>
        <w:rPr>
          <w:rFonts w:ascii="Tms Rmn" w:hAnsi="Tms Rmn" w:cs="Tms Rmn"/>
        </w:rPr>
      </w:pPr>
      <w:r>
        <w:rPr>
          <w:rFonts w:cs="Tms Rmn" w:ascii="Tms Rmn" w:hAnsi="Tms Rm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rFonts w:ascii="Tms Rmn" w:hAnsi="Tms Rmn" w:cs="Tms Rmn"/>
          <w:sz w:val="22"/>
        </w:rPr>
      </w:pPr>
      <w:r>
        <w:rPr>
          <w:rFonts w:cs="Tms Rmn"/>
          <w:sz w:val="22"/>
        </w:rPr>
      </w:r>
    </w:p>
    <w:p>
      <w:pPr>
        <w:pStyle w:val="Normal"/>
        <w:spacing w:lineRule="atLeast" w:line="240"/>
        <w:ind w:firstLine="720" w:end="0"/>
        <w:jc w:val="both"/>
        <w:rPr>
          <w:sz w:val="22"/>
        </w:rPr>
      </w:pPr>
      <w:r>
        <w:rPr>
          <w:sz w:val="22"/>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This Guaranty shall be binding upon Guarantor, its successors and assigns and inure to the benefit of and be enforceable by FIMAT, its successors and assigns.  This Guaranty embodies the entire agreement and understanding between Guarantor and FIMAT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r>
        <w:br w:type="page"/>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/mnt/main-storage/datasets/enron-docs/doc/enronguarred.doc</w:t>
    </w:r>
    <w:r>
      <w:rPr>
        <w:sz w:val="18"/>
      </w:rPr>
      <w:fldChar w:fldCharType="end"/>
    </w:r>
  </w:p>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360"/>
      </w:pPr>
      <w:rPr>
        <w:b w:val="false"/>
      </w:rPr>
    </w:lvl>
  </w:abstractNum>
  <w:abstractNum w:abstractNumId="3">
    <w:lvl w:ilvl="0">
      <w:start w:val="1"/>
      <w:numFmt w:val="lowerLetter"/>
      <w:lvlText w:val="(%1)"/>
      <w:lvlJc w:val="start"/>
      <w:pPr>
        <w:tabs>
          <w:tab w:val="num" w:pos="1215"/>
        </w:tabs>
        <w:ind w:start="1215" w:hanging="49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b w:val="false"/>
    </w:rPr>
  </w:style>
  <w:style w:type="character" w:styleId="WW8Num6z0">
    <w:name w:val="WW8Num6z0"/>
    <w:qFormat/>
    <w:rPr>
      <w:rFonts w:ascii="Wingdings" w:hAnsi="Wingdings" w:cs="Wingdings"/>
      <w:sz w:val="24"/>
    </w:rPr>
  </w:style>
  <w:style w:type="character" w:styleId="WW8Num7z0">
    <w:name w:val="WW8Num7z0"/>
    <w:qFormat/>
    <w:rPr>
      <w:rFonts w:ascii="Wingdings" w:hAnsi="Wingdings" w:cs="Wingdings"/>
      <w:sz w:val="24"/>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sz w:val="24"/>
    </w:rPr>
  </w:style>
  <w:style w:type="character" w:styleId="WW8Num11z0">
    <w:name w:val="WW8Num11z0"/>
    <w:qFormat/>
    <w:rPr>
      <w:rFonts w:ascii="Wingdings" w:hAnsi="Wingdings" w:cs="Wingdings"/>
      <w:sz w:val="24"/>
    </w:rPr>
  </w:style>
  <w:style w:type="character" w:styleId="WW8Num12z0">
    <w:name w:val="WW8Num12z0"/>
    <w:qFormat/>
    <w:rPr/>
  </w:style>
  <w:style w:type="character" w:styleId="WW8Num13z0">
    <w:name w:val="WW8Num13z0"/>
    <w:qFormat/>
    <w:rPr>
      <w:rFonts w:ascii="Wingdings" w:hAnsi="Wingdings" w:cs="Wingdings"/>
      <w:sz w:val="24"/>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sz w:val="24"/>
    </w:rPr>
  </w:style>
  <w:style w:type="character" w:styleId="WW8Num20z0">
    <w:name w:val="WW8Num20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2001-11-08T13:07:00Z</dcterms:created>
  <dc:creator>carolyn creel</dc:creator>
  <dc:description/>
  <dc:language>en-CA</dc:language>
  <cp:lastModifiedBy>lgoodwyn</cp:lastModifiedBy>
  <cp:lastPrinted>2001-11-05T16:53:00Z</cp:lastPrinted>
  <dcterms:modified xsi:type="dcterms:W3CDTF">2001-11-08T13:27:00Z</dcterms:modified>
  <cp:revision>3</cp:revision>
  <dc:subject>short form</dc:subject>
  <dc:title>letter of understanding/Term Sheet</dc:title>
</cp:coreProperties>
</file>