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b/>
          <w:sz w:val="22"/>
          <w:u w:val="single"/>
        </w:rPr>
      </w:pPr>
      <w:r>
        <w:rPr>
          <w:rFonts w:cs="Times New Roman" w:ascii="Times New Roman" w:hAnsi="Times New Roman"/>
          <w:b/>
          <w:sz w:val="22"/>
          <w:u w:val="single"/>
        </w:rPr>
        <w:t>DRAFT OF 11/29/00</w:t>
      </w:r>
    </w:p>
    <w:p>
      <w:pPr>
        <w:pStyle w:val="Normal"/>
        <w:jc w:val="end"/>
        <w:rPr>
          <w:rFonts w:ascii="Times New Roman" w:hAnsi="Times New Roman" w:cs="Times New Roman"/>
          <w:b/>
          <w:sz w:val="22"/>
          <w:u w:val="single"/>
        </w:rPr>
      </w:pPr>
      <w:r>
        <w:rPr>
          <w:rFonts w:cs="Times New Roman" w:ascii="Times New Roman" w:hAnsi="Times New Roman"/>
          <w:b/>
          <w:sz w:val="22"/>
          <w:u w:val="single"/>
        </w:rPr>
      </w:r>
    </w:p>
    <w:p>
      <w:pPr>
        <w:pStyle w:val="Normal"/>
        <w:spacing w:before="0" w:after="120"/>
        <w:jc w:val="center"/>
        <w:rPr>
          <w:rFonts w:ascii="Times New Roman" w:hAnsi="Times New Roman" w:cs="Times New Roman"/>
          <w:b/>
          <w:sz w:val="22"/>
        </w:rPr>
      </w:pPr>
      <w:r>
        <w:rPr>
          <w:rFonts w:cs="Times New Roman" w:ascii="Times New Roman" w:hAnsi="Times New Roman"/>
          <w:b/>
          <w:sz w:val="22"/>
        </w:rPr>
        <w:t>SCHEDULE</w:t>
        <w:br/>
        <w:t>to the</w:t>
        <w:br/>
        <w:t>MASTER AGREEMENT</w:t>
        <w:br/>
        <w:t>(Multicurrency-Cross Border)</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t>dated as of  March 31, 1997</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t>between</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RISK MANAGEMENT &amp; TRADING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ENRON ENGINEERING &amp; CONSTRUCTION COMPANY, a corporation organized under the law of the State of Texas (“Party B”)</w:t>
            </w:r>
          </w:p>
        </w:tc>
      </w:tr>
    </w:tbl>
    <w:p>
      <w:pPr>
        <w:pStyle w:val="Normal"/>
        <w:spacing w:before="480" w:after="0"/>
        <w:jc w:val="both"/>
        <w:rPr/>
      </w:pPr>
      <w:r>
        <w:rPr>
          <w:rFonts w:cs="Times New Roman" w:ascii="Times New Roman" w:hAnsi="Times New Roman"/>
          <w:b/>
          <w:sz w:val="22"/>
        </w:rPr>
        <w:t>Part 1.</w:t>
      </w:r>
      <w:r>
        <w:rPr>
          <w:rFonts w:cs="Times New Roman" w:ascii="Times New Roman" w:hAnsi="Times New Roman"/>
          <w:sz w:val="22"/>
        </w:rPr>
        <w:t xml:space="preserve"> </w:t>
      </w:r>
      <w:r>
        <w:rPr>
          <w:rFonts w:cs="Times New Roman" w:ascii="Times New Roman" w:hAnsi="Times New Roman"/>
          <w:b/>
          <w:sz w:val="22"/>
        </w:rPr>
        <w:t>Termination Provisions.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“Specified Entity”</w:t>
      </w:r>
      <w:r>
        <w:rPr>
          <w:rFonts w:cs="Times New Roman" w:ascii="Times New Roman" w:hAnsi="Times New Roman"/>
          <w:sz w:val="22"/>
        </w:rPr>
        <w:t xml:space="preserve"> means in relation to Party A, none; and in relation to Party B, none.</w:t>
      </w:r>
    </w:p>
    <w:p>
      <w:pPr>
        <w:pStyle w:val="Normal"/>
        <w:spacing w:lineRule="exact" w:line="240" w:before="240" w:after="0"/>
        <w:ind w:firstLine="720" w:end="0"/>
        <w:jc w:val="both"/>
        <w:rPr/>
      </w:pPr>
      <w:r>
        <w:rPr>
          <w:rFonts w:cs="Times New Roman" w:ascii="Times New Roman" w:hAnsi="Times New Roman"/>
          <w:sz w:val="22"/>
        </w:rPr>
        <w:t>(b)</w:t>
        <w:tab/>
        <w:t>The “</w:t>
      </w:r>
      <w:r>
        <w:rPr>
          <w:rFonts w:cs="Times New Roman" w:ascii="Times New Roman" w:hAnsi="Times New Roman"/>
          <w:b/>
          <w:sz w:val="22"/>
        </w:rPr>
        <w:t>Cross Default”</w:t>
      </w:r>
      <w:r>
        <w:rPr>
          <w:rFonts w:cs="Times New Roman" w:ascii="Times New Roman" w:hAnsi="Times New Roman"/>
          <w:sz w:val="22"/>
        </w:rPr>
        <w:t xml:space="preserve"> provisions of Section 5(a)(vi) will not apply to Party A or to Party B.</w:t>
      </w:r>
    </w:p>
    <w:p>
      <w:pPr>
        <w:pStyle w:val="Normal"/>
        <w:spacing w:lineRule="exact" w:line="240" w:before="240" w:after="0"/>
        <w:ind w:firstLine="720" w:end="0"/>
        <w:jc w:val="both"/>
        <w:rPr/>
      </w:pPr>
      <w:r>
        <w:rPr>
          <w:rFonts w:cs="Times New Roman" w:ascii="Times New Roman" w:hAnsi="Times New Roman"/>
          <w:sz w:val="22"/>
        </w:rPr>
        <w:t>(c)</w:t>
        <w:tab/>
        <w:t xml:space="preserve">The </w:t>
      </w:r>
      <w:r>
        <w:rPr>
          <w:rFonts w:cs="Times New Roman" w:ascii="Times New Roman" w:hAnsi="Times New Roman"/>
          <w:b/>
          <w:sz w:val="22"/>
        </w:rPr>
        <w:t>“Credit Event Upon Merger”</w:t>
      </w:r>
      <w:r>
        <w:rPr>
          <w:rFonts w:cs="Times New Roman" w:ascii="Times New Roman" w:hAnsi="Times New Roman"/>
          <w:sz w:val="22"/>
        </w:rPr>
        <w:t xml:space="preserve"> provisions of Section 5(b)(iv) will apply to Party A and to Party B.</w:t>
      </w:r>
    </w:p>
    <w:p>
      <w:pPr>
        <w:pStyle w:val="Normal"/>
        <w:spacing w:lineRule="exact" w:line="240" w:before="240" w:after="0"/>
        <w:ind w:firstLine="720" w:end="0"/>
        <w:jc w:val="both"/>
        <w:rPr/>
      </w:pPr>
      <w:r>
        <w:rPr>
          <w:rFonts w:cs="Times New Roman" w:ascii="Times New Roman" w:hAnsi="Times New Roman"/>
          <w:sz w:val="22"/>
        </w:rPr>
        <w:t>(d)</w:t>
        <w:tab/>
        <w:t xml:space="preserve">The </w:t>
      </w:r>
      <w:r>
        <w:rPr>
          <w:rFonts w:cs="Times New Roman" w:ascii="Times New Roman" w:hAnsi="Times New Roman"/>
          <w:b/>
          <w:sz w:val="22"/>
        </w:rPr>
        <w:t>“Automatic Early Termination”</w:t>
      </w:r>
      <w:r>
        <w:rPr>
          <w:rFonts w:cs="Times New Roman" w:ascii="Times New Roman" w:hAnsi="Times New Roman"/>
          <w:sz w:val="22"/>
        </w:rPr>
        <w:t xml:space="preserve"> provision of Section 6(a) will not apply to Party A or to Party B.</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Payments on Early Termination.</w:t>
      </w:r>
      <w:r>
        <w:rPr>
          <w:rFonts w:cs="Times New Roman" w:ascii="Times New Roman" w:hAnsi="Times New Roman"/>
          <w:sz w:val="22"/>
        </w:rPr>
        <w:t xml:space="preserve">  For the purpose of Section 6(e):  (i) Loss will apply, and (ii) the Second Method will apply.</w:t>
      </w:r>
    </w:p>
    <w:p>
      <w:pPr>
        <w:pStyle w:val="Normal"/>
        <w:numPr>
          <w:ilvl w:val="0"/>
          <w:numId w:val="2"/>
        </w:numPr>
        <w:spacing w:lineRule="exact" w:line="240" w:before="240" w:after="0"/>
        <w:ind w:hanging="0" w:start="720" w:end="0"/>
        <w:jc w:val="both"/>
        <w:rPr>
          <w:rFonts w:ascii="Times New Roman" w:hAnsi="Times New Roman" w:cs="Times New Roman"/>
          <w:sz w:val="22"/>
        </w:rPr>
      </w:pPr>
      <w:r>
        <w:rPr>
          <w:rFonts w:cs="Times New Roman" w:ascii="Times New Roman" w:hAnsi="Times New Roman"/>
          <w:b/>
          <w:sz w:val="22"/>
        </w:rPr>
        <w:t>“</w:t>
      </w:r>
      <w:r>
        <w:rPr>
          <w:rFonts w:cs="Times New Roman" w:ascii="Times New Roman" w:hAnsi="Times New Roman"/>
          <w:b/>
          <w:sz w:val="22"/>
        </w:rPr>
        <w:t>Termination Currency”</w:t>
      </w:r>
      <w:r>
        <w:rPr>
          <w:rFonts w:cs="Times New Roman" w:ascii="Times New Roman" w:hAnsi="Times New Roman"/>
          <w:sz w:val="22"/>
        </w:rPr>
        <w:t xml:space="preserve"> means United States Dollars.</w:t>
      </w:r>
    </w:p>
    <w:p>
      <w:pPr>
        <w:pStyle w:val="Normal"/>
        <w:spacing w:lineRule="exact" w:line="240" w:before="240" w:after="0"/>
        <w:ind w:firstLine="720" w:end="0"/>
        <w:jc w:val="both"/>
        <w:rPr/>
      </w:pPr>
      <w:r>
        <w:rPr>
          <w:rFonts w:cs="Times New Roman" w:ascii="Times New Roman" w:hAnsi="Times New Roman"/>
          <w:sz w:val="22"/>
        </w:rPr>
        <w:t>(g)</w:t>
      </w:r>
      <w:r>
        <w:rPr>
          <w:rFonts w:cs="Times New Roman" w:ascii="Times New Roman" w:hAnsi="Times New Roman"/>
          <w:b/>
          <w:sz w:val="22"/>
        </w:rPr>
        <w:tab/>
        <w:t>Additional Event of Default.</w:t>
      </w:r>
      <w:r>
        <w:rPr>
          <w:rFonts w:cs="Times New Roman" w:ascii="Times New Roman" w:hAnsi="Times New Roman"/>
          <w:sz w:val="22"/>
        </w:rPr>
        <w:t xml:space="preserve">  The following will constitute an additional Event of Default for purposes of Section 5(a):</w:t>
      </w:r>
    </w:p>
    <w:p>
      <w:pPr>
        <w:pStyle w:val="Normal"/>
        <w:spacing w:lineRule="atLeast" w:line="240"/>
        <w:ind w:start="720" w:end="0"/>
        <w:jc w:val="both"/>
        <w:rPr>
          <w:rFonts w:ascii="Times New Roman" w:hAnsi="Times New Roman" w:cs="Times New Roman"/>
          <w:sz w:val="22"/>
        </w:rPr>
      </w:pPr>
      <w:r>
        <w:rPr>
          <w:rFonts w:cs="Times New Roman" w:ascii="Times New Roman" w:hAnsi="Times New Roman"/>
          <w:sz w:val="22"/>
        </w:rPr>
      </w:r>
    </w:p>
    <w:p>
      <w:pPr>
        <w:pStyle w:val="BodyTextIndent"/>
        <w:widowControl/>
        <w:spacing w:lineRule="atLeast" w:line="240"/>
        <w:rPr/>
      </w:pPr>
      <w:r>
        <w:rPr/>
        <w:t>(ix)</w:t>
        <w:tab/>
        <w:t>(i) in the case of Party A, if Enron Corp. ceases to own, directly or indirectly, one hundred percent (100%) of the outstanding capital stock or other equity interests of Party A having ordinary voting power; or (ii) in the case of Party B, if Enron Corp. ceases to own directly or indirectly, one hundred percent (100%) or more of the outstanding capital stock or other equity interests of Party B having ordinary voting power.</w:t>
      </w:r>
    </w:p>
    <w:p>
      <w:pPr>
        <w:pStyle w:val="Normal"/>
        <w:spacing w:lineRule="exact" w:line="240" w:before="240" w:after="0"/>
        <w:ind w:firstLine="720" w:end="0"/>
        <w:jc w:val="both"/>
        <w:rPr/>
      </w:pPr>
      <w:r>
        <w:rPr>
          <w:rFonts w:cs="Times New Roman" w:ascii="Times New Roman" w:hAnsi="Times New Roman"/>
          <w:sz w:val="22"/>
          <w:szCs w:val="22"/>
        </w:rPr>
        <w:t>(h)</w:t>
        <w:tab/>
      </w:r>
      <w:r>
        <w:rPr>
          <w:b/>
          <w:bCs/>
          <w:sz w:val="22"/>
          <w:szCs w:val="22"/>
        </w:rPr>
        <w:t>“Contractual Currency”</w:t>
      </w:r>
      <w:r>
        <w:rPr>
          <w:sz w:val="22"/>
          <w:szCs w:val="22"/>
        </w:rPr>
        <w:t xml:space="preserve"> unless otherwise specified in a Confirmation, shall mean United States Dollars.</w:t>
      </w:r>
    </w:p>
    <w:p>
      <w:pPr>
        <w:pStyle w:val="Normal"/>
        <w:spacing w:lineRule="atLeast" w:line="240"/>
        <w:ind w:start="720" w:end="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before="480" w:after="0"/>
        <w:jc w:val="both"/>
        <w:rPr>
          <w:rFonts w:ascii="Times New Roman" w:hAnsi="Times New Roman" w:cs="Times New Roman"/>
          <w:sz w:val="22"/>
        </w:rPr>
      </w:pPr>
      <w:r>
        <w:rPr>
          <w:rFonts w:cs="Times New Roman" w:ascii="Times New Roman" w:hAnsi="Times New Roman"/>
          <w:b/>
          <w:sz w:val="22"/>
        </w:rPr>
        <w:t>Part 2.  Tax Representations.</w:t>
      </w:r>
    </w:p>
    <w:p>
      <w:pPr>
        <w:pStyle w:val="Normal"/>
        <w:keepNext w:val="true"/>
        <w:tabs>
          <w:tab w:val="left" w:pos="720" w:leader="none"/>
        </w:tabs>
        <w:spacing w:lineRule="exact" w:line="240" w:before="120" w:after="0"/>
        <w:ind w:start="720" w:end="0"/>
        <w:jc w:val="both"/>
        <w:rPr>
          <w:rFonts w:ascii="Times New Roman" w:hAnsi="Times New Roman" w:cs="Times New Roman"/>
          <w:sz w:val="22"/>
        </w:rPr>
      </w:pPr>
      <w:r>
        <w:rPr>
          <w:rFonts w:cs="Times New Roman" w:ascii="Times New Roman" w:hAnsi="Times New Roman"/>
          <w:sz w:val="22"/>
        </w:rPr>
        <w:t>Not applicable.</w:t>
      </w:r>
    </w:p>
    <w:p>
      <w:pPr>
        <w:pStyle w:val="Normal"/>
        <w:tabs>
          <w:tab w:val="left" w:pos="720" w:leader="none"/>
        </w:tabs>
        <w:spacing w:lineRule="exact" w:line="240" w:before="120" w:after="0"/>
        <w:ind w:start="72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before="120" w:after="0"/>
        <w:ind w:hanging="720" w:start="720" w:end="0"/>
        <w:jc w:val="both"/>
        <w:rPr>
          <w:rFonts w:ascii="Times New Roman" w:hAnsi="Times New Roman" w:cs="Times New Roman"/>
          <w:b/>
          <w:sz w:val="22"/>
        </w:rPr>
      </w:pPr>
      <w:r>
        <w:rPr>
          <w:rFonts w:cs="Times New Roman" w:ascii="Times New Roman" w:hAnsi="Times New Roman"/>
          <w:b/>
          <w:sz w:val="22"/>
        </w:rPr>
        <w:t>Part 3.</w:t>
        <w:tab/>
        <w:t>Agreement to Deliver Documents</w:t>
      </w:r>
    </w:p>
    <w:p>
      <w:pPr>
        <w:pStyle w:val="Normal"/>
        <w:spacing w:lineRule="exact" w:line="240" w:before="240" w:after="0"/>
        <w:jc w:val="both"/>
        <w:rPr>
          <w:rFonts w:ascii="Times New Roman" w:hAnsi="Times New Roman" w:cs="Times New Roman"/>
          <w:sz w:val="22"/>
        </w:rPr>
      </w:pPr>
      <w:r>
        <w:rPr>
          <w:rFonts w:cs="Times New Roman" w:ascii="Times New Roman" w:hAnsi="Times New Roman"/>
          <w:sz w:val="22"/>
        </w:rPr>
        <w:t>For the purpose of Section 4(a), the Tax forms, documents, or certificates to be delivered are:  None.</w:t>
      </w:r>
    </w:p>
    <w:p>
      <w:pPr>
        <w:pStyle w:val="Normal"/>
        <w:spacing w:lineRule="exact" w:line="240" w:before="480" w:after="0"/>
        <w:jc w:val="both"/>
        <w:rPr>
          <w:rFonts w:ascii="Times New Roman" w:hAnsi="Times New Roman" w:cs="Times New Roman"/>
          <w:b/>
          <w:sz w:val="22"/>
        </w:rPr>
      </w:pPr>
      <w:r>
        <w:rPr>
          <w:rFonts w:cs="Times New Roman" w:ascii="Times New Roman" w:hAnsi="Times New Roman"/>
          <w:b/>
          <w:sz w:val="22"/>
        </w:rPr>
        <w:t>Part 4.  Miscellaneous.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Addresses for Notices.</w:t>
      </w:r>
      <w:r>
        <w:rPr>
          <w:rFonts w:cs="Times New Roman" w:ascii="Times New Roman" w:hAnsi="Times New Roman"/>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120" w:after="0"/>
        <w:ind w:hanging="720" w:start="720" w:end="0"/>
        <w:jc w:val="both"/>
        <w:rPr>
          <w:rFonts w:ascii="Times New Roman" w:hAnsi="Times New Roman" w:cs="Times New Roman"/>
          <w:sz w:val="22"/>
        </w:rPr>
      </w:pPr>
      <w:r>
        <w:rPr>
          <w:rFonts w:cs="Times New Roman" w:ascii="Times New Roman" w:hAnsi="Times New Roman"/>
          <w:sz w:val="22"/>
        </w:rPr>
        <w:t>Address for notices or communications to Party A:</w:t>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before="240" w:after="0"/>
              <w:jc w:val="both"/>
              <w:rPr>
                <w:rFonts w:ascii="Times New Roman" w:hAnsi="Times New Roman" w:cs="Times New Roman"/>
                <w:sz w:val="22"/>
              </w:rPr>
            </w:pPr>
            <w:r>
              <w:rPr>
                <w:rFonts w:cs="Times New Roman"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spacing w:lineRule="atLeast" w:line="240" w:before="240" w:after="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88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(for courier delivery)</w:t>
            </w:r>
          </w:p>
          <w:p>
            <w:pPr>
              <w:pStyle w:val="Normal"/>
              <w:tabs>
                <w:tab w:val="left" w:pos="720" w:leader="none"/>
                <w:tab w:val="right" w:pos="9360" w:leader="dot"/>
              </w:tabs>
              <w:spacing w:lineRule="exact" w:line="240" w:before="120" w:after="0"/>
              <w:jc w:val="both"/>
              <w:rPr>
                <w:rFonts w:ascii="Times New Roman" w:hAnsi="Times New Roman" w:cs="Times New Roman"/>
                <w:sz w:val="22"/>
              </w:rPr>
            </w:pPr>
            <w:r>
              <w:rPr>
                <w:rFonts w:cs="Times New Roman" w:ascii="Times New Roman" w:hAnsi="Times New Roman"/>
                <w:sz w:val="22"/>
              </w:rPr>
            </w:r>
          </w:p>
        </w:tc>
        <w:tc>
          <w:tcPr>
            <w:tcW w:w="4140" w:type="dxa"/>
            <w:tcBorders/>
          </w:tcPr>
          <w:p>
            <w:pPr>
              <w:pStyle w:val="Normal"/>
              <w:tabs>
                <w:tab w:val="clear" w:pos="720"/>
                <w:tab w:val="left" w:pos="4230" w:leader="none"/>
                <w:tab w:val="left" w:pos="9360" w:leader="none"/>
              </w:tabs>
              <w:spacing w:lineRule="exact" w:line="240" w:before="240" w:after="0"/>
              <w:jc w:val="both"/>
              <w:rPr>
                <w:rFonts w:ascii="Times New Roman" w:hAnsi="Times New Roman" w:cs="Times New Roman"/>
                <w:sz w:val="22"/>
              </w:rPr>
            </w:pPr>
            <w:r>
              <w:rPr>
                <w:rFonts w:cs="Times New Roman" w:ascii="Times New Roman" w:hAnsi="Times New Roman"/>
                <w:sz w:val="22"/>
              </w:rPr>
              <w:t>Risk Management &amp; Trading Corp.</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P.O Box 4428</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Houston, Texas 77210-4428</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1400 Smith Street</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Houston, Texas  77002</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before="240" w:after="0"/>
              <w:ind w:start="72" w:end="0"/>
              <w:jc w:val="both"/>
              <w:rPr>
                <w:rFonts w:ascii="Times New Roman" w:hAnsi="Times New Roman" w:cs="Times New Roman"/>
                <w:sz w:val="22"/>
                <w:u w:val="single"/>
              </w:rPr>
            </w:pPr>
            <w:r>
              <w:rPr>
                <w:rFonts w:cs="Times New Roman" w:ascii="Times New Roman" w:hAnsi="Times New Roman"/>
                <w:sz w:val="22"/>
              </w:rPr>
              <w:t>Telex No.:  765443</w:t>
            </w:r>
          </w:p>
          <w:p>
            <w:pPr>
              <w:pStyle w:val="Normal"/>
              <w:tabs>
                <w:tab w:val="clear" w:pos="720"/>
                <w:tab w:val="left" w:pos="4230" w:leader="none"/>
                <w:tab w:val="left" w:pos="9360" w:leader="none"/>
              </w:tabs>
              <w:spacing w:lineRule="exact" w:line="240"/>
              <w:ind w:start="72" w:end="0"/>
              <w:jc w:val="both"/>
              <w:rPr>
                <w:rFonts w:ascii="Times New Roman" w:hAnsi="Times New Roman" w:cs="Times New Roman"/>
                <w:sz w:val="22"/>
                <w:u w:val="single"/>
              </w:rPr>
            </w:pPr>
            <w:r>
              <w:rPr>
                <w:rFonts w:cs="Times New Roman" w:ascii="Times New Roman" w:hAnsi="Times New Roman"/>
                <w:sz w:val="22"/>
              </w:rPr>
              <w:t>Answerback:  ENRONCORP</w:t>
            </w:r>
          </w:p>
          <w:p>
            <w:pPr>
              <w:pStyle w:val="Normal"/>
              <w:tabs>
                <w:tab w:val="clear" w:pos="720"/>
                <w:tab w:val="left" w:pos="4230" w:leader="none"/>
                <w:tab w:val="left" w:pos="9360" w:leader="none"/>
              </w:tabs>
              <w:spacing w:lineRule="exact" w:line="240"/>
              <w:ind w:start="72" w:end="0"/>
              <w:jc w:val="both"/>
              <w:rPr>
                <w:rFonts w:ascii="Times New Roman" w:hAnsi="Times New Roman" w:cs="Times New Roman"/>
                <w:sz w:val="22"/>
                <w:u w:val="single"/>
              </w:rPr>
            </w:pPr>
            <w:r>
              <w:rPr>
                <w:rFonts w:cs="Times New Roman" w:ascii="Times New Roman" w:hAnsi="Times New Roman"/>
                <w:sz w:val="22"/>
              </w:rPr>
              <w:t>Facsimile No.: (713) 646-4816</w:t>
            </w:r>
          </w:p>
          <w:p>
            <w:pPr>
              <w:pStyle w:val="Normal"/>
              <w:tabs>
                <w:tab w:val="clear" w:pos="720"/>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Telephone No.: (713) 853-3300</w:t>
            </w:r>
          </w:p>
        </w:tc>
      </w:tr>
    </w:tbl>
    <w:p>
      <w:pPr>
        <w:pStyle w:val="Normal"/>
        <w:tabs>
          <w:tab w:val="clear" w:pos="720"/>
          <w:tab w:val="right" w:pos="9360" w:leader="dot"/>
        </w:tabs>
        <w:spacing w:lineRule="exact" w:line="240" w:before="240" w:after="0"/>
        <w:jc w:val="both"/>
        <w:rPr>
          <w:rFonts w:ascii="Times New Roman" w:hAnsi="Times New Roman" w:cs="Times New Roman"/>
          <w:sz w:val="22"/>
        </w:rPr>
      </w:pPr>
      <w:r>
        <w:rPr>
          <w:rFonts w:cs="Times New Roman" w:ascii="Times New Roman" w:hAnsi="Times New Roman"/>
          <w:sz w:val="22"/>
        </w:rPr>
        <w:t>A copy of any notice sent to Party A pursuant to Section 5 or 6 must also be sent to (i) Risk Management &amp; Trading Corp., Attention:  Corporate Secretary at the above address and facsimile no. (713) 853-2534, and (ii) Risk Management &amp; Trading Corp., Attention:  Assistant General Counsel, Trading Group at the above address and facsimile no. (713) 646-4818.</w:t>
      </w:r>
    </w:p>
    <w:p>
      <w:pPr>
        <w:pStyle w:val="Normal"/>
        <w:tabs>
          <w:tab w:val="clear" w:pos="720"/>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t>Address for notices or communications to Party B:</w:t>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 xml:space="preserve">Address: </w:t>
            </w:r>
          </w:p>
          <w:p>
            <w:pPr>
              <w:pStyle w:val="Normal"/>
              <w:keepNext w:val="true"/>
              <w:tabs>
                <w:tab w:val="clear" w:pos="720"/>
                <w:tab w:val="left" w:pos="288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(for courier delivery)</w:t>
            </w:r>
            <w:r>
              <w:rPr>
                <w:rFonts w:cs="Times New Roman" w:ascii="Times New Roman" w:hAnsi="Times New Roman"/>
                <w:sz w:val="22"/>
                <w:u w:val="single"/>
              </w:rPr>
              <w:t xml:space="preserve"> </w:t>
            </w:r>
          </w:p>
          <w:p>
            <w:pPr>
              <w:pStyle w:val="Normal"/>
              <w:keepNext w:val="true"/>
              <w:tabs>
                <w:tab w:val="left" w:pos="720" w:leader="none"/>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color w:val="FF0000"/>
                <w:sz w:val="22"/>
              </w:rPr>
            </w:pPr>
            <w:r>
              <w:rPr>
                <w:rFonts w:cs="Times New Roman" w:ascii="Times New Roman" w:hAnsi="Times New Roman"/>
                <w:color w:val="FF0000"/>
                <w:sz w:val="22"/>
              </w:rPr>
              <w:t>Enron Engineering &amp; Construction Company</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color w:val="FF0000"/>
                <w:sz w:val="22"/>
              </w:rPr>
            </w:pPr>
            <w:r>
              <w:rPr>
                <w:rFonts w:cs="Times New Roman" w:ascii="Times New Roman" w:hAnsi="Times New Roman"/>
                <w:color w:val="FF0000"/>
                <w:sz w:val="22"/>
              </w:rPr>
              <w:t>1400 Smith Street</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color w:val="FF0000"/>
                <w:sz w:val="22"/>
              </w:rPr>
            </w:pPr>
            <w:r>
              <w:rPr>
                <w:rFonts w:cs="Times New Roman" w:ascii="Times New Roman" w:hAnsi="Times New Roman"/>
                <w:color w:val="FF0000"/>
                <w:sz w:val="22"/>
              </w:rPr>
              <w:t>Houston, Texas 77002</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color w:val="FF0000"/>
                <w:sz w:val="22"/>
              </w:rPr>
            </w:pPr>
            <w:r>
              <w:rPr>
                <w:rFonts w:cs="Times New Roman" w:ascii="Times New Roman" w:hAnsi="Times New Roman"/>
                <w:color w:val="FF0000"/>
                <w:sz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color w:val="FF0000"/>
                <w:sz w:val="22"/>
              </w:rPr>
            </w:pPr>
            <w:r>
              <w:rPr>
                <w:rFonts w:cs="Times New Roman" w:ascii="Times New Roman" w:hAnsi="Times New Roman"/>
                <w:color w:val="FF0000"/>
                <w:sz w:val="22"/>
              </w:rPr>
              <w:t>Facsimile No.:  (713)</w:t>
            </w:r>
            <w:r>
              <w:rPr>
                <w:rFonts w:cs="Times New Roman" w:ascii="Times New Roman" w:hAnsi="Times New Roman"/>
                <w:color w:val="FF0000"/>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color w:val="FF0000"/>
                <w:sz w:val="22"/>
              </w:rPr>
            </w:pPr>
            <w:r>
              <w:rPr>
                <w:rFonts w:cs="Times New Roman" w:ascii="Times New Roman" w:hAnsi="Times New Roman"/>
                <w:color w:val="FF0000"/>
                <w:sz w:val="22"/>
              </w:rPr>
              <w:t>Telephone No.:  (713)</w:t>
            </w:r>
            <w:r>
              <w:rPr>
                <w:rFonts w:cs="Times New Roman" w:ascii="Times New Roman" w:hAnsi="Times New Roman"/>
                <w:color w:val="FF0000"/>
                <w:sz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rFonts w:cs="Times New Roman" w:ascii="Times New Roman" w:hAnsi="Times New Roman"/>
          <w:sz w:val="22"/>
        </w:rPr>
        <w:t>(b)</w:t>
        <w:tab/>
      </w:r>
      <w:r>
        <w:rPr>
          <w:rFonts w:cs="Times New Roman" w:ascii="Times New Roman" w:hAnsi="Times New Roman"/>
          <w:b/>
          <w:sz w:val="22"/>
        </w:rPr>
        <w:t>Offices; Multibranch Parties.</w:t>
      </w:r>
      <w:r>
        <w:rPr>
          <w:rFonts w:cs="Times New Roman" w:ascii="Times New Roman" w:hAnsi="Times New Roman"/>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rFonts w:cs="Times New Roman" w:ascii="Times New Roman" w:hAnsi="Times New Roman"/>
          <w:sz w:val="22"/>
        </w:rPr>
        <w:t>(c)</w:t>
        <w:tab/>
      </w:r>
      <w:r>
        <w:rPr>
          <w:rFonts w:cs="Times New Roman" w:ascii="Times New Roman" w:hAnsi="Times New Roman"/>
          <w:b/>
          <w:sz w:val="22"/>
        </w:rPr>
        <w:t>Calculation Agent.</w:t>
      </w:r>
      <w:r>
        <w:rPr>
          <w:rFonts w:cs="Times New Roman" w:ascii="Times New Roman" w:hAnsi="Times New Roman"/>
          <w:sz w:val="22"/>
        </w:rPr>
        <w:t xml:space="preserve">  The Calculation Agent is Party A.</w:t>
      </w:r>
    </w:p>
    <w:p>
      <w:pPr>
        <w:pStyle w:val="Normal"/>
        <w:spacing w:lineRule="exact" w:line="240" w:before="240" w:after="0"/>
        <w:ind w:firstLine="720" w:end="0"/>
        <w:jc w:val="both"/>
        <w:rPr/>
      </w:pPr>
      <w:r>
        <w:rPr>
          <w:rFonts w:cs="Times New Roman" w:ascii="Times New Roman" w:hAnsi="Times New Roman"/>
          <w:sz w:val="22"/>
        </w:rPr>
        <w:t>(d)</w:t>
        <w:tab/>
      </w:r>
      <w:r>
        <w:rPr>
          <w:rFonts w:cs="Times New Roman" w:ascii="Times New Roman" w:hAnsi="Times New Roman"/>
          <w:b/>
          <w:sz w:val="22"/>
        </w:rPr>
        <w:t>Credit Support Documents.</w:t>
      </w:r>
      <w:r>
        <w:rPr>
          <w:rFonts w:cs="Times New Roman" w:ascii="Times New Roman" w:hAnsi="Times New Roman"/>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none.</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Credit Support Provider.</w:t>
      </w:r>
      <w:r>
        <w:rPr>
          <w:rFonts w:cs="Times New Roman" w:ascii="Times New Roman" w:hAnsi="Times New Roman"/>
          <w:sz w:val="22"/>
        </w:rPr>
        <w:t xml:space="preserve">  (i) Credit Support Provider means in relation to Party A, none, and (ii) Credit Support Provider means in relation to Party B, none.</w:t>
      </w:r>
    </w:p>
    <w:p>
      <w:pPr>
        <w:pStyle w:val="Normal"/>
        <w:spacing w:lineRule="exact" w:line="240" w:before="240" w:after="0"/>
        <w:ind w:firstLine="720" w:end="0"/>
        <w:jc w:val="both"/>
        <w:rPr/>
      </w:pPr>
      <w:r>
        <w:rPr>
          <w:rFonts w:cs="Times New Roman" w:ascii="Times New Roman" w:hAnsi="Times New Roman"/>
          <w:sz w:val="22"/>
        </w:rPr>
        <w:t>(f)</w:t>
        <w:tab/>
      </w:r>
      <w:r>
        <w:rPr>
          <w:rFonts w:cs="Times New Roman" w:ascii="Times New Roman" w:hAnsi="Times New Roman"/>
          <w:b/>
          <w:sz w:val="22"/>
        </w:rPr>
        <w:t>Netting of Payments.</w:t>
      </w:r>
      <w:r>
        <w:rPr>
          <w:rFonts w:cs="Times New Roman" w:ascii="Times New Roman" w:hAnsi="Times New Roman"/>
          <w:sz w:val="22"/>
        </w:rPr>
        <w:t xml:space="preserve">  Section 2(c)(ii) will not apply to all Transactions.</w:t>
      </w:r>
    </w:p>
    <w:p>
      <w:pPr>
        <w:pStyle w:val="Normal"/>
        <w:spacing w:lineRule="exact" w:line="240" w:before="240" w:after="0"/>
        <w:ind w:firstLine="720" w:end="0"/>
        <w:jc w:val="both"/>
        <w:rPr/>
      </w:pPr>
      <w:r>
        <w:rPr>
          <w:rFonts w:cs="Times New Roman" w:ascii="Times New Roman" w:hAnsi="Times New Roman"/>
          <w:sz w:val="22"/>
        </w:rPr>
        <w:t>(g)</w:t>
        <w:tab/>
      </w:r>
      <w:r>
        <w:rPr>
          <w:rFonts w:cs="Times New Roman" w:ascii="Times New Roman" w:hAnsi="Times New Roman"/>
          <w:b/>
          <w:sz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rFonts w:cs="Times New Roman" w:ascii="Times New Roman" w:hAnsi="Times New Roman"/>
          <w:sz w:val="22"/>
        </w:rPr>
        <w:t>(h)</w:t>
        <w:tab/>
      </w:r>
      <w:r>
        <w:rPr>
          <w:rFonts w:cs="Times New Roman" w:ascii="Times New Roman" w:hAnsi="Times New Roman"/>
          <w:b/>
          <w:sz w:val="22"/>
        </w:rPr>
        <w:t>Jurisdiction.</w:t>
      </w:r>
      <w:r>
        <w:rPr>
          <w:rFonts w:cs="Times New Roman" w:ascii="Times New Roman" w:hAnsi="Times New Roman"/>
          <w:sz w:val="22"/>
        </w:rPr>
        <w:t xml:space="preserve">  Section 13(b) is hereby deleted in its entirety and replaced with the following:</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firstLine="720" w:start="720" w:end="0"/>
        <w:jc w:val="both"/>
        <w:rPr/>
      </w:pPr>
      <w:r>
        <w:rPr>
          <w:rFonts w:cs="Times New Roman" w:ascii="Times New Roman" w:hAnsi="Times New Roman"/>
          <w:sz w:val="22"/>
        </w:rPr>
        <w:t>(b)</w:t>
        <w:tab/>
      </w:r>
      <w:r>
        <w:rPr>
          <w:rFonts w:cs="Times New Roman" w:ascii="Times New Roman" w:hAnsi="Times New Roman"/>
          <w:b/>
          <w:sz w:val="22"/>
        </w:rPr>
        <w:t>Agreement To Arbitrate:</w:t>
      </w:r>
      <w:r>
        <w:rPr>
          <w:rFonts w:cs="Times New Roman" w:ascii="Times New Roman" w:hAnsi="Times New Roman"/>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Conduct Of The Arbitration, And Authority Of The Arbitrators:</w:t>
      </w:r>
      <w:r>
        <w:rPr>
          <w:rFonts w:cs="Times New Roman" w:ascii="Times New Roman" w:hAnsi="Times New Roman"/>
          <w:sz w:val="22"/>
        </w:rPr>
        <w:t xml:space="preserve"> </w:t>
      </w:r>
      <w:r>
        <w:rPr>
          <w:rFonts w:cs="Times New Roman" w:ascii="Times New Roman" w:hAnsi="Times New Roman"/>
          <w:i/>
          <w:sz w:val="22"/>
        </w:rPr>
        <w:t xml:space="preserve"> </w:t>
      </w:r>
      <w:r>
        <w:rPr>
          <w:rFonts w:cs="Times New Roman" w:ascii="Times New Roman" w:hAnsi="Times New Roman"/>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Forum For The Arbitration And Selection Of Arbitrators:</w:t>
      </w:r>
      <w:r>
        <w:rPr>
          <w:rFonts w:cs="Times New Roman" w:ascii="Times New Roman" w:hAnsi="Times New Roman"/>
          <w:sz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Confidentiality:</w:t>
      </w:r>
      <w:r>
        <w:rPr>
          <w:rFonts w:cs="Times New Roman" w:ascii="Times New Roman" w:hAnsi="Times New Roman"/>
          <w:sz w:val="22"/>
        </w:rPr>
        <w:t xml:space="preserve">  To the fullest extent permitted by law, any arbitration proceeding and the arbitrators award shall be maintained in confidence by the parties.</w:t>
      </w:r>
    </w:p>
    <w:p>
      <w:pPr>
        <w:pStyle w:val="Normal"/>
        <w:keepNext w:val="true"/>
        <w:spacing w:lineRule="exact" w:line="240" w:before="480" w:after="0"/>
        <w:jc w:val="both"/>
        <w:rPr>
          <w:rFonts w:ascii="Times New Roman" w:hAnsi="Times New Roman" w:cs="Times New Roman"/>
          <w:b/>
          <w:sz w:val="22"/>
        </w:rPr>
      </w:pPr>
      <w:r>
        <w:rPr>
          <w:rFonts w:cs="Times New Roman" w:ascii="Times New Roman" w:hAnsi="Times New Roman"/>
          <w:b/>
          <w:sz w:val="22"/>
        </w:rPr>
        <w:t>Part 5.  Other Provisions.</w:t>
      </w:r>
    </w:p>
    <w:p>
      <w:pPr>
        <w:pStyle w:val="Normal"/>
        <w:keepNext w:val="true"/>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Conditions Precedent.</w:t>
      </w:r>
      <w:r>
        <w:rPr>
          <w:rFonts w:cs="Times New Roman" w:ascii="Times New Roman" w:hAnsi="Times New Roman"/>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rFonts w:cs="Times New Roman" w:ascii="Times New Roman" w:hAnsi="Times New Roman"/>
          <w:sz w:val="22"/>
        </w:rPr>
        <w:t>(b)</w:t>
        <w:tab/>
      </w:r>
      <w:r>
        <w:rPr>
          <w:rFonts w:cs="Times New Roman" w:ascii="Times New Roman" w:hAnsi="Times New Roman"/>
          <w:b/>
          <w:sz w:val="22"/>
        </w:rPr>
        <w:t>Representations.</w:t>
      </w:r>
      <w:r>
        <w:rPr>
          <w:rFonts w:cs="Times New Roman" w:ascii="Times New Roman" w:hAnsi="Times New Roman"/>
          <w:sz w:val="22"/>
        </w:rPr>
        <w:t xml:space="preserve">  Section 3 is hereby amended by adding at the end thereof the following Subsections (g), (h), (i), and (j):</w:t>
      </w:r>
    </w:p>
    <w:p>
      <w:pPr>
        <w:pStyle w:val="Normal"/>
        <w:spacing w:lineRule="exact" w:line="240" w:before="240" w:after="0"/>
        <w:ind w:firstLine="720" w:start="720" w:end="0"/>
        <w:jc w:val="both"/>
        <w:rPr>
          <w:sz w:val="22"/>
        </w:rPr>
      </w:pPr>
      <w:r>
        <w:rPr>
          <w:rFonts w:cs="Times New Roman" w:ascii="Times New Roman" w:hAnsi="Times New Roman"/>
          <w:sz w:val="22"/>
        </w:rPr>
        <w:t>(g)</w:t>
        <w:tab/>
      </w:r>
      <w:r>
        <w:rPr>
          <w:b/>
          <w:sz w:val="22"/>
        </w:rPr>
        <w:t>Line of Business.</w:t>
      </w:r>
      <w:r>
        <w:rPr>
          <w:sz w:val="22"/>
        </w:rPr>
        <w:t xml:space="preserve">  </w:t>
      </w:r>
      <w:r>
        <w:rPr>
          <w:sz w:val="22"/>
          <w:szCs w:val="22"/>
        </w:rPr>
        <w:t>(i)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rFonts w:cs="Times New Roman" w:ascii="Times New Roman" w:hAnsi="Times New Roman"/>
          <w:sz w:val="22"/>
        </w:rPr>
        <w:t>(h)</w:t>
        <w:tab/>
      </w:r>
      <w:r>
        <w:rPr>
          <w:rFonts w:cs="Times New Roman" w:ascii="Times New Roman" w:hAnsi="Times New Roman"/>
          <w:b/>
          <w:sz w:val="22"/>
        </w:rPr>
        <w:t>Eligible Swap Participant.</w:t>
      </w:r>
      <w:r>
        <w:rPr>
          <w:rFonts w:cs="Times New Roman" w:ascii="Times New Roman" w:hAnsi="Times New Roman"/>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rFonts w:cs="Times New Roman" w:ascii="Times New Roman" w:hAnsi="Times New Roman"/>
          <w:sz w:val="22"/>
        </w:rPr>
        <w:t>(i)</w:t>
      </w:r>
      <w:r>
        <w:rPr>
          <w:rFonts w:cs="Times New Roman" w:ascii="Times New Roman" w:hAnsi="Times New Roman"/>
          <w:b/>
          <w:sz w:val="22"/>
        </w:rPr>
        <w:tab/>
        <w:t>Customization and Creditworthiness.</w:t>
      </w:r>
      <w:r>
        <w:rPr>
          <w:rFonts w:cs="Times New Roman" w:ascii="Times New Roman" w:hAnsi="Times New Roman"/>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rFonts w:cs="Times New Roman" w:ascii="Times New Roman" w:hAnsi="Times New Roman"/>
          <w:sz w:val="22"/>
        </w:rPr>
        <w:t>(j)</w:t>
        <w:tab/>
      </w:r>
      <w:r>
        <w:rPr>
          <w:rFonts w:cs="Times New Roman" w:ascii="Times New Roman" w:hAnsi="Times New Roman"/>
          <w:b/>
          <w:sz w:val="22"/>
        </w:rPr>
        <w:t>No Reliance.</w:t>
      </w:r>
      <w:r>
        <w:rPr>
          <w:rFonts w:cs="Times New Roman" w:ascii="Times New Roman" w:hAnsi="Times New Roman"/>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rFonts w:cs="Times New Roman" w:ascii="Times New Roman" w:hAnsi="Times New Roman"/>
          <w:sz w:val="22"/>
        </w:rPr>
        <w:t>(c)</w:t>
        <w:tab/>
      </w:r>
      <w:r>
        <w:rPr>
          <w:rFonts w:cs="Times New Roman" w:ascii="Times New Roman" w:hAnsi="Times New Roman"/>
          <w:b/>
          <w:sz w:val="22"/>
        </w:rPr>
        <w:t>Reference Market-makers.</w:t>
      </w:r>
      <w:r>
        <w:rPr>
          <w:rFonts w:cs="Times New Roman" w:ascii="Times New Roman" w:hAnsi="Times New Roman"/>
          <w:sz w:val="22"/>
        </w:rPr>
        <w:t xml:space="preserve">  The definition of </w:t>
      </w:r>
      <w:r>
        <w:rPr>
          <w:rFonts w:cs="Times New Roman" w:ascii="Times New Roman" w:hAnsi="Times New Roman"/>
          <w:b/>
          <w:sz w:val="22"/>
        </w:rPr>
        <w:t>“Reference Market-makers”</w:t>
      </w:r>
      <w:r>
        <w:rPr>
          <w:rFonts w:cs="Times New Roman" w:ascii="Times New Roman" w:hAnsi="Times New Roman"/>
          <w:sz w:val="22"/>
        </w:rPr>
        <w:t xml:space="preserve"> in Section 14 is hereby amended by deleting clause (b) thereof.</w:t>
      </w:r>
    </w:p>
    <w:p>
      <w:pPr>
        <w:pStyle w:val="Normal"/>
        <w:spacing w:lineRule="exact" w:line="240" w:before="240" w:after="0"/>
        <w:ind w:firstLine="720" w:end="0"/>
        <w:jc w:val="both"/>
        <w:rPr/>
      </w:pPr>
      <w:r>
        <w:rPr>
          <w:rFonts w:cs="Times New Roman" w:ascii="Times New Roman" w:hAnsi="Times New Roman"/>
          <w:sz w:val="22"/>
        </w:rPr>
        <w:t>(d)</w:t>
        <w:tab/>
      </w:r>
      <w:r>
        <w:rPr>
          <w:rFonts w:cs="Times New Roman" w:ascii="Times New Roman" w:hAnsi="Times New Roman"/>
          <w:b/>
          <w:sz w:val="22"/>
        </w:rPr>
        <w:t>Definitions.</w:t>
      </w:r>
      <w:r>
        <w:rPr>
          <w:rFonts w:cs="Times New Roman" w:ascii="Times New Roman" w:hAnsi="Times New Roman"/>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Procedures for Entering into Transactions.</w:t>
      </w:r>
      <w:r>
        <w:rPr>
          <w:rFonts w:cs="Times New Roman" w:ascii="Times New Roman" w:hAnsi="Times New Roman"/>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rFonts w:cs="Times New Roman" w:ascii="Times New Roman" w:hAnsi="Times New Roman"/>
          <w:sz w:val="22"/>
        </w:rPr>
        <w:t>(f)</w:t>
      </w:r>
      <w:r>
        <w:rPr>
          <w:rFonts w:cs="Times New Roman" w:ascii="Times New Roman" w:hAnsi="Times New Roman"/>
          <w:b/>
          <w:sz w:val="22"/>
        </w:rPr>
        <w:tab/>
        <w:t>Recording.</w:t>
      </w:r>
      <w:r>
        <w:rPr>
          <w:rFonts w:cs="Times New Roman" w:ascii="Times New Roman" w:hAnsi="Times New Roman"/>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rFonts w:cs="Times New Roman" w:ascii="Times New Roman" w:hAnsi="Times New Roman"/>
          <w:sz w:val="22"/>
        </w:rPr>
        <w:t>(g)</w:t>
        <w:tab/>
      </w:r>
      <w:r>
        <w:rPr>
          <w:rFonts w:cs="Times New Roman" w:ascii="Times New Roman" w:hAnsi="Times New Roman"/>
          <w:b/>
          <w:sz w:val="22"/>
        </w:rPr>
        <w:t>Setoff.</w:t>
      </w:r>
      <w:r>
        <w:rPr>
          <w:rFonts w:cs="Times New Roman" w:ascii="Times New Roman" w:hAnsi="Times New Roman"/>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rFonts w:ascii="Times New Roman" w:hAnsi="Times New Roman" w:cs="Times New Roman"/>
          <w:b/>
          <w:sz w:val="22"/>
        </w:rPr>
      </w:pPr>
      <w:r>
        <w:rPr>
          <w:rFonts w:cs="Times New Roman" w:ascii="Times New Roman" w:hAnsi="Times New Roman"/>
          <w:b/>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rFonts w:cs="Times New Roman" w:ascii="Times New Roman" w:hAnsi="Times New Roman"/>
          <w:sz w:val="22"/>
        </w:rPr>
        <w:t>(i)</w:t>
        <w:tab/>
      </w:r>
      <w:r>
        <w:rPr>
          <w:rFonts w:cs="Times New Roman" w:ascii="Times New Roman" w:hAnsi="Times New Roman"/>
          <w:b/>
          <w:sz w:val="22"/>
        </w:rPr>
        <w:t>Confidentiality.</w:t>
      </w:r>
      <w:r>
        <w:rPr>
          <w:rFonts w:cs="Times New Roman" w:ascii="Times New Roman" w:hAnsi="Times New Roman"/>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w:t>
      </w:r>
      <w:r>
        <w:rPr>
          <w:rFonts w:cs="Times New Roman" w:ascii="Times New Roman" w:hAnsi="Times New Roman"/>
          <w:i/>
          <w:iCs/>
          <w:sz w:val="22"/>
        </w:rPr>
        <w:t>information</w:t>
      </w:r>
      <w:r>
        <w:rPr>
          <w:rFonts w:cs="Times New Roman" w:ascii="Times New Roman" w:hAnsi="Times New Roman"/>
          <w:sz w:val="22"/>
        </w:rPr>
        <w:t xml:space="preserve">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630" w:end="0"/>
        <w:jc w:val="both"/>
        <w:rPr/>
      </w:pPr>
      <w:r>
        <w:rPr>
          <w:rFonts w:cs="Times New Roman" w:ascii="Times New Roman" w:hAnsi="Times New Roman"/>
          <w:sz w:val="22"/>
        </w:rPr>
        <w:t>(j)</w:t>
        <w:tab/>
      </w:r>
      <w:r>
        <w:rPr>
          <w:rFonts w:cs="Times New Roman" w:ascii="Times New Roman" w:hAnsi="Times New Roman"/>
          <w:b/>
          <w:sz w:val="22"/>
        </w:rPr>
        <w:t>Transfer.</w:t>
      </w:r>
      <w:r>
        <w:rPr>
          <w:rFonts w:cs="Times New Roman" w:ascii="Times New Roman" w:hAnsi="Times New Roman"/>
          <w:sz w:val="22"/>
        </w:rPr>
        <w:t xml:space="preserve">  Section 7 is hereby amended by adding the following Subsection (c):</w:t>
      </w:r>
    </w:p>
    <w:p>
      <w:pPr>
        <w:pStyle w:val="Normal"/>
        <w:spacing w:lineRule="exact" w:line="240"/>
        <w:ind w:firstLine="63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63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(c)  Party A or Party B may transfer its rights and obligations under this Agreement, in whole but not in part, to any Affiliate provided that such transfer will not give rise to a Termination Event or an Event of Default.”</w:t>
      </w:r>
    </w:p>
    <w:p>
      <w:pPr>
        <w:pStyle w:val="Normal"/>
        <w:spacing w:lineRule="exact" w:line="240" w:before="240" w:after="0"/>
        <w:ind w:firstLine="720" w:end="0"/>
        <w:jc w:val="both"/>
        <w:rPr/>
      </w:pPr>
      <w:r>
        <w:rPr>
          <w:rFonts w:cs="Times New Roman" w:ascii="Times New Roman" w:hAnsi="Times New Roman"/>
          <w:sz w:val="22"/>
        </w:rPr>
        <w:t>(k)</w:t>
        <w:tab/>
      </w:r>
      <w:r>
        <w:rPr>
          <w:rFonts w:cs="Times New Roman" w:ascii="Times New Roman" w:hAnsi="Times New Roman"/>
          <w:b/>
          <w:sz w:val="22"/>
        </w:rPr>
        <w:t>Applicable Rate.</w:t>
      </w:r>
      <w:r>
        <w:rPr>
          <w:rFonts w:cs="Times New Roman" w:ascii="Times New Roman" w:hAnsi="Times New Roman"/>
          <w:sz w:val="22"/>
        </w:rPr>
        <w:t xml:space="preserve">  The definition of </w:t>
      </w:r>
      <w:r>
        <w:rPr>
          <w:rFonts w:cs="Times New Roman" w:ascii="Times New Roman" w:hAnsi="Times New Roman"/>
          <w:b/>
          <w:sz w:val="22"/>
        </w:rPr>
        <w:t>“Applicable Rate”</w:t>
      </w:r>
      <w:r>
        <w:rPr>
          <w:rFonts w:cs="Times New Roman" w:ascii="Times New Roman" w:hAnsi="Times New Roman"/>
          <w:sz w:val="22"/>
        </w:rPr>
        <w:t xml:space="preserve"> set forth in Section 14 is hereby amended by adding to the end of Subsection (b) of the definition after the word “Rate” the following provision:  “;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spacing w:lineRule="exact" w:line="240" w:before="240" w:after="0"/>
        <w:ind w:firstLine="720" w:end="0"/>
        <w:jc w:val="both"/>
        <w:rPr>
          <w:color w:val="000000"/>
          <w:sz w:val="22"/>
          <w:szCs w:val="22"/>
        </w:rPr>
      </w:pPr>
      <w:r>
        <w:rPr>
          <w:sz w:val="22"/>
          <w:szCs w:val="22"/>
        </w:rPr>
        <w:t xml:space="preserve">(n)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before="480" w:after="0"/>
        <w:jc w:val="both"/>
        <w:rPr>
          <w:rFonts w:ascii="Times New Roman" w:hAnsi="Times New Roman" w:cs="Times New Roman"/>
          <w:b/>
          <w:sz w:val="22"/>
        </w:rPr>
      </w:pPr>
      <w:r>
        <w:rPr>
          <w:rFonts w:cs="Times New Roman" w:ascii="Times New Roman" w:hAnsi="Times New Roman"/>
          <w:b/>
          <w:sz w:val="22"/>
        </w:rPr>
        <w:t>Part 6.  Additional Provisions For Commodity Derivatives Transactions.</w:t>
      </w:r>
    </w:p>
    <w:p>
      <w:pPr>
        <w:pStyle w:val="Justified"/>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(c)</w:t>
        <w:tab/>
        <w:t>Section 7.4(c)(viii) of the Commodity Definitions is hereby amended by the addition of the following at the end thereof:</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(d)</w:t>
        <w:tab/>
        <w:t>Section 7.5(e) of the Commodity Definitions is hereby deleted.</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(e)</w:t>
        <w:tab/>
        <w:t>“Additional Market Disruption Events” shall apply only if so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w:t>
        <w:tab/>
        <w:t>“Postponement”, with three (3) Commodity Business Days as the Maximum Days of Disruption;</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(ii)</w:t>
        <w:tab/>
        <w:t>“Fallback Reference Price” (if the relevant parties have specified an alternate Commodity Reference Price in the Confirmation);</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(iii)</w:t>
        <w:tab/>
        <w:t>“Negotiated Fallback” (provided that the reference in Section 7.5(c)(ii) to “fifth Business Day” shall be amended to be “twelfth Business Day”); and</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Normal"/>
        <w:jc w:val="both"/>
        <w:rPr>
          <w:b/>
          <w:bCs/>
          <w:sz w:val="22"/>
          <w:szCs w:val="22"/>
        </w:rPr>
      </w:pPr>
      <w:r>
        <w:rPr>
          <w:b/>
          <w:bCs/>
          <w:sz w:val="22"/>
          <w:szCs w:val="22"/>
        </w:rPr>
      </w:r>
    </w:p>
    <w:p>
      <w:pPr>
        <w:pStyle w:val="Normal"/>
        <w:jc w:val="both"/>
        <w:rPr>
          <w:sz w:val="22"/>
          <w:szCs w:val="22"/>
        </w:rPr>
      </w:pPr>
      <w:r>
        <w:rPr>
          <w:b/>
          <w:bCs/>
          <w:sz w:val="22"/>
          <w:szCs w:val="22"/>
        </w:rPr>
        <w:t>Part 7.  Additional Terms for FX Transactions and Currency Option Transactions.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(a)</w:t>
        <w:tab/>
      </w:r>
      <w:r>
        <w:rPr>
          <w:b/>
          <w:bCs/>
          <w:sz w:val="22"/>
          <w:szCs w:val="22"/>
        </w:rPr>
        <w:t>Standard Terms and Conditions Applicable to FX Transactions and Currency Option Transactions.</w:t>
      </w:r>
      <w:r>
        <w:rPr>
          <w:sz w:val="22"/>
          <w:szCs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jc w:val="both"/>
        <w:rPr>
          <w:sz w:val="22"/>
          <w:szCs w:val="22"/>
        </w:rPr>
      </w:pPr>
      <w:r>
        <w:rPr>
          <w:spacing w:val="-3"/>
          <w:sz w:val="22"/>
          <w:szCs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(b)</w:t>
        <w:tab/>
      </w:r>
      <w:r>
        <w:rPr>
          <w:b/>
          <w:bCs/>
          <w:sz w:val="22"/>
          <w:szCs w:val="22"/>
        </w:rPr>
        <w:t>Incorporation of and Amendments to ISDA FX Definitions.</w:t>
      </w:r>
      <w:r>
        <w:rPr>
          <w:sz w:val="22"/>
          <w:szCs w:val="22"/>
        </w:rPr>
        <w:t xml:space="preserve">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sz w:val="22"/>
          <w:szCs w:val="22"/>
        </w:rPr>
      </w:pPr>
      <w:r>
        <w:rPr>
          <w:sz w:val="22"/>
          <w:szCs w:val="22"/>
        </w:rPr>
        <w:t>The following amendment is made to the FX and Currency Option Definitions: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 xml:space="preserve">"Section 3.4(c).  </w:t>
      </w:r>
      <w:r>
        <w:rPr>
          <w:b/>
          <w:bCs/>
          <w:sz w:val="22"/>
          <w:szCs w:val="22"/>
        </w:rPr>
        <w:t>Terms Relating to Payment of Premium.</w:t>
      </w:r>
    </w:p>
    <w:p>
      <w:pPr>
        <w:pStyle w:val="Normal"/>
        <w:tabs>
          <w:tab w:val="clear" w:pos="720"/>
          <w:tab w:val="left" w:pos="1350" w:leader="none"/>
        </w:tabs>
        <w:ind w:start="720" w:end="0"/>
        <w:jc w:val="both"/>
        <w:rPr>
          <w:sz w:val="22"/>
          <w:szCs w:val="22"/>
        </w:rPr>
      </w:pPr>
      <w:r>
        <w:rPr>
          <w:sz w:val="22"/>
          <w:szCs w:val="22"/>
        </w:rPr>
      </w:r>
    </w:p>
    <w:p>
      <w:pPr>
        <w:pStyle w:val="BodyTextIndent3"/>
        <w:spacing w:lineRule="auto" w:line="240"/>
        <w:ind w:hanging="720" w:start="1440" w:end="0"/>
        <w:rPr/>
      </w:pPr>
      <w:r>
        <w:rPr/>
        <w:t>(i)</w:t>
        <w:tab/>
        <w:t>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ind w:hanging="720" w:start="1440" w:end="0"/>
        <w:jc w:val="both"/>
        <w:rPr>
          <w:sz w:val="22"/>
          <w:szCs w:val="22"/>
        </w:rPr>
      </w:pPr>
      <w:r>
        <w:rPr>
          <w:sz w:val="22"/>
          <w:szCs w:val="22"/>
        </w:rPr>
      </w:r>
    </w:p>
    <w:p>
      <w:pPr>
        <w:pStyle w:val="BodyTextIndent2"/>
        <w:widowControl/>
        <w:tabs>
          <w:tab w:val="clear" w:pos="1350"/>
        </w:tabs>
        <w:ind w:hanging="720" w:start="1440" w:end="0"/>
        <w:rPr>
          <w:rFonts w:ascii="Times New Roman" w:hAnsi="Times New Roman" w:cs="Times New Roman"/>
        </w:rPr>
      </w:pPr>
      <w:r>
        <w:rPr>
          <w:rFonts w:cs="Times New Roman" w:ascii="Times New Roman" w:hAnsi="Times New Roman"/>
        </w:rPr>
        <w:t>(ii)</w:t>
        <w:tab/>
        <w:t>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Justified"/>
        <w:spacing w:before="0" w:after="0"/>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s>
        <w:jc w:val="both"/>
        <w:rPr/>
      </w:pPr>
      <w:r>
        <w:rPr>
          <w:b/>
          <w:bCs/>
          <w:sz w:val="22"/>
          <w:szCs w:val="22"/>
        </w:rPr>
        <w:tab/>
      </w:r>
      <w:r>
        <w:rPr>
          <w:sz w:val="22"/>
          <w:szCs w:val="22"/>
        </w:rPr>
        <w:t>(c)</w:t>
      </w:r>
      <w:r>
        <w:rPr>
          <w:b/>
          <w:bCs/>
          <w:sz w:val="22"/>
          <w:szCs w:val="22"/>
        </w:rPr>
        <w:tab/>
        <w:t>Discharge and Termination of Currency Option Transactions.</w:t>
      </w:r>
      <w:r>
        <w:rPr>
          <w:sz w:val="22"/>
          <w:szCs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iCs/>
          <w:sz w:val="22"/>
          <w:szCs w:val="22"/>
        </w:rPr>
        <w:t>provided that</w:t>
      </w:r>
      <w:r>
        <w:rPr>
          <w:sz w:val="22"/>
          <w:szCs w:val="22"/>
        </w:rPr>
        <w:t>, such termination and discharge may only occur in respect of Currency Option Transactions:</w:t>
      </w:r>
    </w:p>
    <w:p>
      <w:pPr>
        <w:pStyle w:val="Normal"/>
        <w:jc w:val="both"/>
        <w:rPr>
          <w:b/>
          <w:bCs/>
          <w:sz w:val="22"/>
          <w:szCs w:val="22"/>
        </w:rPr>
      </w:pPr>
      <w:r>
        <w:rPr>
          <w:b/>
          <w:bCs/>
          <w:sz w:val="22"/>
          <w:szCs w:val="22"/>
        </w:rPr>
      </w:r>
    </w:p>
    <w:p>
      <w:pPr>
        <w:pStyle w:val="Justified"/>
        <w:spacing w:before="0" w:after="0"/>
        <w:ind w:hanging="720" w:start="144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spacing w:before="240" w:after="0"/>
        <w:ind w:hanging="720" w:start="144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spacing w:before="240" w:after="0"/>
        <w:ind w:hanging="720" w:start="1440" w:end="0"/>
        <w:rPr>
          <w:rFonts w:ascii="Times New Roman" w:hAnsi="Times New Roman" w:cs="Times New Roman"/>
        </w:rPr>
      </w:pPr>
      <w:r>
        <w:rPr>
          <w:rFonts w:cs="Times New Roman" w:ascii="Times New Roman" w:hAnsi="Times New Roman"/>
        </w:rPr>
        <w:t>(iv)</w:t>
        <w:tab/>
        <w:t>each having the same Strike Price; and</w:t>
      </w:r>
    </w:p>
    <w:p>
      <w:pPr>
        <w:pStyle w:val="Justified"/>
        <w:spacing w:before="240" w:after="0"/>
        <w:ind w:hanging="720" w:start="144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spacing w:before="0" w:after="0"/>
        <w:ind w:hanging="720" w:start="1440" w:end="0"/>
        <w:rPr>
          <w:rFonts w:ascii="Times New Roman" w:hAnsi="Times New Roman" w:cs="Times New Roman"/>
        </w:rPr>
      </w:pPr>
      <w:r>
        <w:rPr>
          <w:rFonts w:cs="Times New Roman" w:ascii="Times New Roman" w:hAnsi="Times New Roman"/>
        </w:rPr>
      </w:r>
    </w:p>
    <w:p>
      <w:pPr>
        <w:pStyle w:val="Normal"/>
        <w:jc w:val="both"/>
        <w:rPr>
          <w:sz w:val="22"/>
          <w:szCs w:val="22"/>
        </w:rPr>
      </w:pPr>
      <w:r>
        <w:rPr>
          <w:sz w:val="22"/>
          <w:szCs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p>
    <w:p>
      <w:pPr>
        <w:pStyle w:val="Normal"/>
        <w:tabs>
          <w:tab w:val="clear" w:pos="720"/>
          <w:tab w:val="left" w:pos="1134" w:leader="none"/>
        </w:tabs>
        <w:spacing w:before="480" w:after="0"/>
        <w:rPr>
          <w:sz w:val="22"/>
          <w:szCs w:val="22"/>
        </w:rPr>
      </w:pPr>
      <w:r>
        <w:rPr>
          <w:b/>
          <w:bCs/>
          <w:sz w:val="22"/>
          <w:szCs w:val="22"/>
        </w:rPr>
        <w:t>Part 8.  Transactions Governed by FRABBA Terms.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pPr>
      <w:r>
        <w:rPr>
          <w:rFonts w:cs="Times New Roman" w:ascii="Times New Roman" w:hAnsi="Times New Roman"/>
          <w:sz w:val="22"/>
        </w:rPr>
        <w:t xml:space="preserve">Any forward rate agreement into which the parties </w:t>
      </w:r>
      <w:r>
        <w:rPr>
          <w:rFonts w:cs="Times New Roman" w:ascii="Times New Roman" w:hAnsi="Times New Roman"/>
          <w:i/>
          <w:iCs/>
          <w:sz w:val="22"/>
        </w:rPr>
        <w:t>have entered</w:t>
      </w:r>
      <w:r>
        <w:rPr>
          <w:rFonts w:cs="Times New Roman" w:ascii="Times New Roman" w:hAnsi="Times New Roman"/>
          <w:sz w:val="22"/>
        </w:rPr>
        <w:t xml:space="preserve"> and in respect of which the confirmation or other confirming evidence refers to or incorporates the British Bankers' Association London Interbank Forward Rate Agreements Recommended Terms and Conditions (1985 edition) ("FRABBA Terms") will be governed by this Agreement.  Any forward rate agreement into which the parties </w:t>
      </w:r>
      <w:r>
        <w:rPr>
          <w:rFonts w:cs="Times New Roman" w:ascii="Times New Roman" w:hAnsi="Times New Roman"/>
          <w:i/>
          <w:iCs/>
          <w:sz w:val="22"/>
        </w:rPr>
        <w:t>may enter</w:t>
      </w:r>
      <w:r>
        <w:rPr>
          <w:rFonts w:cs="Times New Roman" w:ascii="Times New Roman" w:hAnsi="Times New Roman"/>
          <w:sz w:val="22"/>
        </w:rPr>
        <w:t xml:space="preserve"> and in respect of which the confirmation or other confirming evidence refers to or incorporates the FRABBA Terms will be governed by this Agreement in all circumstances except when the parties expressly agree otherwise.  Each such transaction will be deemed to be a Transaction and each such confirmation or other confirming evidence will be deemed to constitute a Confirmation for purposes of this Agreement.  Sections B, C and E and clauses, 1, 4, 5 and 6 of Section D of the FRABBA Terms are hereby incorporated by reference in this Agreement.  Those Sections are applicable only to transactions to which this provision relates and will prevail in the event of any inconsistency with any other provision of this Agreement.  In the event of any other inconsistency between the FRABBA Terms and this Agreement, this Agreement will govern.  Clauses 2, 3, 7, 8, 9 and 10 of Section D of the FRABBA Terms are not applicable to any transaction to which this provision relates.</w:t>
      </w:r>
    </w:p>
    <w:p>
      <w:pPr>
        <w:pStyle w:val="Justified"/>
        <w:keepNext w:val="true"/>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rFonts w:ascii="Times New Roman" w:hAnsi="Times New Roman" w:cs="Times New Roman"/>
                <w:sz w:val="22"/>
              </w:rPr>
            </w:pPr>
            <w:r>
              <w:rPr>
                <w:rFonts w:cs="Times New Roman" w:ascii="Times New Roman" w:hAnsi="Times New Roman"/>
                <w:b/>
                <w:sz w:val="22"/>
              </w:rPr>
              <w:t>RISK MANAGEMENT &amp; TRADING CORP.</w:t>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tab/>
              <w:tab/>
              <w:tab/>
              <w:tab/>
            </w:r>
          </w:p>
          <w:p>
            <w:pPr>
              <w:pStyle w:val="Normal"/>
              <w:keepNext w:val="true"/>
              <w:tabs>
                <w:tab w:val="clear" w:pos="720"/>
                <w:tab w:val="left" w:pos="4320" w:leader="none"/>
              </w:tabs>
              <w:spacing w:lineRule="exact" w:line="240"/>
              <w:jc w:val="both"/>
              <w:rPr>
                <w:rFonts w:ascii="Times New Roman" w:hAnsi="Times New Roman" w:cs="Times New Roman"/>
                <w:sz w:val="22"/>
              </w:rPr>
            </w:pPr>
            <w:r>
              <w:rPr>
                <w:rFonts w:cs="Times New Roman" w:ascii="Times New Roman" w:hAnsi="Times New Roman"/>
                <w:sz w:val="22"/>
              </w:rPr>
              <w:t xml:space="preserve">Title:     </w:t>
            </w:r>
            <w:r>
              <w:rPr>
                <w:rFonts w:cs="Times New Roman" w:ascii="Times New Roman" w:hAnsi="Times New Roman"/>
                <w:sz w:val="22"/>
                <w:u w:val="single"/>
              </w:rPr>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c>
          <w:tcPr>
            <w:tcW w:w="4788" w:type="dxa"/>
            <w:tcBorders/>
          </w:tcPr>
          <w:p>
            <w:pPr>
              <w:pStyle w:val="Normal"/>
              <w:keepNext w:val="true"/>
              <w:spacing w:lineRule="exact" w:line="240"/>
              <w:jc w:val="both"/>
              <w:rPr>
                <w:rFonts w:ascii="Times New Roman" w:hAnsi="Times New Roman" w:cs="Times New Roman"/>
                <w:sz w:val="22"/>
              </w:rPr>
            </w:pPr>
            <w:r>
              <w:rPr>
                <w:rFonts w:cs="Times New Roman" w:ascii="Times New Roman" w:hAnsi="Times New Roman"/>
                <w:b/>
                <w:sz w:val="22"/>
              </w:rPr>
              <w:t>ENRON ENGINEERING &amp; CONSTRUCTION  COMPANY</w:t>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tab/>
              <w:tab/>
              <w:tab/>
              <w:tab/>
            </w:r>
          </w:p>
          <w:p>
            <w:pPr>
              <w:pStyle w:val="Normal"/>
              <w:keepNext w:val="true"/>
              <w:spacing w:lineRule="exact" w:line="240"/>
              <w:jc w:val="both"/>
              <w:rPr/>
            </w:pPr>
            <w:r>
              <w:rPr>
                <w:rFonts w:cs="Times New Roman" w:ascii="Times New Roman" w:hAnsi="Times New Roman"/>
                <w:sz w:val="22"/>
              </w:rPr>
              <w:t>Title:</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r>
    </w:tbl>
    <w:p>
      <w:pPr>
        <w:pStyle w:val="Normal"/>
        <w:keepNext w:val="true"/>
        <w:tabs>
          <w:tab w:val="clear" w:pos="720"/>
          <w:tab w:val="left" w:pos="2880" w:leader="none"/>
        </w:tabs>
        <w:spacing w:lineRule="exact" w:line="240"/>
        <w:ind w:hanging="2880" w:start="2880" w:end="0"/>
        <w:jc w:val="both"/>
        <w:rPr>
          <w:rFonts w:ascii="Times New Roman" w:hAnsi="Times New Roman" w:cs="Times New Roman"/>
          <w:sz w:val="22"/>
        </w:rPr>
      </w:pPr>
      <w:r>
        <w:rPr>
          <w:rFonts w:cs="Times New Roman" w:ascii="Times New Roman" w:hAnsi="Times New Roman"/>
          <w:sz w:val="22"/>
        </w:rPr>
      </w:r>
    </w:p>
    <w:sectPr>
      <w:footerReference w:type="default" r:id="rId2"/>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O:\Legal\Sbailey\Ctr\Intercompany\enronengineeringconstruction.doc</w:t>
    </w:r>
  </w:p>
  <w:p>
    <w:pPr>
      <w:pStyle w:val="Footer"/>
      <w:jc w:val="center"/>
      <w:rPr/>
    </w:pPr>
    <w:r>
      <w:rPr>
        <w:rFonts w:cs="Times New Roman" w:ascii="Times New Roman" w:hAnsi="Times New Roman"/>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0"/>
      <w:szCs w:val="20"/>
      <w:lang w:val="en-US" w:bidi="ar-SA" w:eastAsia="zh-CN"/>
    </w:rPr>
  </w:style>
  <w:style w:type="paragraph" w:styleId="Heading1">
    <w:name w:val="heading 1"/>
    <w:basedOn w:val="Normal"/>
    <w:next w:val="Heading2"/>
    <w:qFormat/>
    <w:pPr>
      <w:keepNext w:val="true"/>
      <w:numPr>
        <w:ilvl w:val="0"/>
        <w:numId w:val="1"/>
      </w:numPr>
      <w:spacing w:before="240" w:after="480"/>
      <w:jc w:val="center"/>
      <w:outlineLvl w:val="0"/>
    </w:pPr>
    <w:rPr>
      <w:b/>
      <w:caps/>
      <w:sz w:val="22"/>
    </w:rPr>
  </w:style>
  <w:style w:type="paragraph" w:styleId="Heading2">
    <w:name w:val="heading 2"/>
    <w:basedOn w:val="Normal"/>
    <w:next w:val="BodyText"/>
    <w:qFormat/>
    <w:pPr>
      <w:numPr>
        <w:ilvl w:val="1"/>
        <w:numId w:val="1"/>
      </w:numPr>
      <w:spacing w:before="0" w:after="240"/>
      <w:ind w:firstLine="720" w:start="0" w:end="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spacing w:before="0" w:after="120"/>
      <w:ind w:hanging="0" w:start="1440" w:end="1440"/>
      <w:jc w:val="both"/>
      <w:outlineLvl w:val="5"/>
    </w:pPr>
    <w:rPr>
      <w:sz w:val="22"/>
    </w:rPr>
  </w:style>
  <w:style w:type="paragraph" w:styleId="Heading7">
    <w:name w:val="heading 7"/>
    <w:basedOn w:val="Normal"/>
    <w:next w:val="BodyText"/>
    <w:qFormat/>
    <w:pPr>
      <w:numPr>
        <w:ilvl w:val="6"/>
        <w:numId w:val="1"/>
      </w:numPr>
      <w:spacing w:before="0" w:after="240"/>
      <w:ind w:hanging="720" w:start="2160" w:end="0"/>
      <w:jc w:val="both"/>
      <w:outlineLvl w:val="6"/>
    </w:pPr>
    <w:rPr>
      <w:sz w:val="22"/>
    </w:rPr>
  </w:style>
  <w:style w:type="paragraph" w:styleId="Heading8">
    <w:name w:val="heading 8"/>
    <w:basedOn w:val="Normal"/>
    <w:next w:val="BodyText"/>
    <w:qFormat/>
    <w:pPr>
      <w:numPr>
        <w:ilvl w:val="7"/>
        <w:numId w:val="1"/>
      </w:numPr>
      <w:spacing w:before="0" w:after="240"/>
      <w:ind w:hanging="720" w:start="2880" w:end="0"/>
      <w:jc w:val="both"/>
      <w:outlineLvl w:val="7"/>
    </w:pPr>
    <w:rPr>
      <w:sz w:val="22"/>
    </w:rPr>
  </w:style>
  <w:style w:type="paragraph" w:styleId="Heading9">
    <w:name w:val="heading 9"/>
    <w:basedOn w:val="Normal"/>
    <w:next w:val="NormalIndent"/>
    <w:qFormat/>
    <w:pPr>
      <w:numPr>
        <w:ilvl w:val="8"/>
        <w:numId w:val="1"/>
      </w:numPr>
      <w:ind w:hanging="0" w:start="720" w:end="0"/>
      <w:outlineLvl w:val="8"/>
    </w:pPr>
    <w:rPr>
      <w:i/>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widowControl w:val="false"/>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idden">
    <w:name w:val="Hidden"/>
    <w:basedOn w:val="Normal"/>
    <w:next w:val="Normal"/>
    <w:qFormat/>
    <w:pPr/>
    <w:rPr>
      <w:vanish/>
      <w:color w:val="FF0000"/>
      <w:sz w:val="22"/>
    </w:rPr>
  </w:style>
  <w:style w:type="paragraph" w:styleId="Expanded">
    <w:name w:val="Expanded"/>
    <w:basedOn w:val="Normal"/>
    <w:next w:val="Normal"/>
    <w:qFormat/>
    <w:pPr>
      <w:spacing w:before="0" w:after="240"/>
      <w:jc w:val="center"/>
    </w:pPr>
    <w:rPr>
      <w:b/>
      <w:caps/>
      <w:spacing w:val="60"/>
      <w:sz w:val="22"/>
    </w:rPr>
  </w:style>
  <w:style w:type="paragraph" w:styleId="Justified">
    <w:name w:val="Justified"/>
    <w:basedOn w:val="Normal"/>
    <w:next w:val="Heading2"/>
    <w:qFormat/>
    <w:pPr>
      <w:spacing w:before="0" w:after="120"/>
      <w:jc w:val="both"/>
    </w:pPr>
    <w:rPr>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BodyTextIndent">
    <w:name w:val="Body Text Indent"/>
    <w:basedOn w:val="Normal"/>
    <w:pPr>
      <w:widowControl w:val="false"/>
      <w:spacing w:lineRule="exact" w:line="240"/>
      <w:ind w:hanging="0" w:start="720" w:end="0"/>
      <w:jc w:val="both"/>
    </w:pPr>
    <w:rPr>
      <w:rFonts w:ascii="Times New Roman" w:hAnsi="Times New Roman" w:cs="Times New Roman"/>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sz w:val="22"/>
    </w:rPr>
  </w:style>
  <w:style w:type="paragraph" w:styleId="BodyTextIndent3">
    <w:name w:val="Body Text Indent 3"/>
    <w:basedOn w:val="Normal"/>
    <w:qFormat/>
    <w:pPr>
      <w:spacing w:lineRule="exact" w:line="240"/>
      <w:ind w:firstLine="720" w:start="720" w:end="0"/>
      <w:jc w:val="both"/>
    </w:pPr>
    <w:rPr>
      <w:rFonts w:ascii="Times New Roman" w:hAnsi="Times New Roman" w:cs="Times New Roman"/>
      <w:sz w:val="22"/>
    </w:rPr>
  </w:style>
  <w:style w:type="paragraph" w:styleId="BodyText2">
    <w:name w:val="Body Text 2"/>
    <w:basedOn w:val="Normal"/>
    <w:qFormat/>
    <w:pPr>
      <w:widowControl w:val="false"/>
      <w:spacing w:lineRule="exact" w:line="240"/>
      <w:ind w:hanging="0" w:start="720" w:end="0"/>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2000-11-29T13:36:00Z</dcterms:created>
  <dc:creator>jdobern</dc:creator>
  <dc:description/>
  <dc:language>en-CA</dc:language>
  <cp:lastModifiedBy>sbaile2</cp:lastModifiedBy>
  <cp:lastPrinted>2000-11-29T09:52:00Z</cp:lastPrinted>
  <dcterms:modified xsi:type="dcterms:W3CDTF">2000-11-30T15:27:00Z</dcterms:modified>
  <cp:revision>6</cp:revision>
  <dc:subject>2nd Draft 8/10/93rmj</dc:subject>
  <dc:title>SCHEDULE TO THE MASTER AGREEMENT</dc:title>
</cp:coreProperties>
</file>