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sz w:val="24"/>
        </w:rPr>
      </w:pPr>
      <w:r>
        <w:rPr>
          <w:i/>
          <w:sz w:val="24"/>
        </w:rPr>
        <w:t>Curriculum vitae</w:t>
      </w:r>
    </w:p>
    <w:p>
      <w:pPr>
        <w:pStyle w:val="Normal"/>
        <w:widowControl w:val="false"/>
        <w:jc w:val="center"/>
        <w:rPr>
          <w:sz w:val="24"/>
        </w:rPr>
      </w:pPr>
      <w:r>
        <w:rPr>
          <w:sz w:val="24"/>
        </w:rPr>
      </w:r>
    </w:p>
    <w:p>
      <w:pPr>
        <w:pStyle w:val="Normal"/>
        <w:widowControl w:val="false"/>
        <w:jc w:val="center"/>
        <w:rPr>
          <w:b/>
          <w:sz w:val="24"/>
        </w:rPr>
      </w:pPr>
      <w:r>
        <w:rPr>
          <w:b/>
          <w:sz w:val="24"/>
        </w:rPr>
        <w:t>Adrian Montague</w:t>
      </w:r>
    </w:p>
    <w:p>
      <w:pPr>
        <w:pStyle w:val="Normal"/>
        <w:widowControl w:val="false"/>
        <w:rPr>
          <w:b/>
          <w:sz w:val="24"/>
          <w:u w:val="single"/>
        </w:rPr>
      </w:pPr>
      <w:r>
        <w:rPr>
          <w:b/>
          <w:sz w:val="24"/>
          <w:u w:val="single"/>
        </w:rPr>
      </w:r>
    </w:p>
    <w:p>
      <w:pPr>
        <w:pStyle w:val="Normal"/>
        <w:widowControl w:val="false"/>
        <w:rPr>
          <w:b/>
          <w:sz w:val="24"/>
          <w:u w:val="single"/>
        </w:rPr>
      </w:pPr>
      <w:r>
        <w:rPr>
          <w:b/>
          <w:sz w:val="24"/>
          <w:u w:val="single"/>
        </w:rPr>
      </w:r>
    </w:p>
    <w:p>
      <w:pPr>
        <w:pStyle w:val="Normal"/>
        <w:widowControl w:val="false"/>
        <w:rPr>
          <w:b/>
          <w:sz w:val="24"/>
          <w:u w:val="single"/>
        </w:rPr>
      </w:pPr>
      <w:r>
        <w:rPr>
          <w:b/>
          <w:sz w:val="24"/>
          <w:u w:val="single"/>
        </w:rPr>
      </w:r>
    </w:p>
    <w:p>
      <w:pPr>
        <w:pStyle w:val="Normal"/>
        <w:widowControl w:val="false"/>
        <w:rPr>
          <w:b/>
          <w:sz w:val="24"/>
          <w:u w:val="single"/>
        </w:rPr>
      </w:pPr>
      <w:r>
        <w:rPr>
          <w:b/>
          <w:sz w:val="24"/>
          <w:u w:val="single"/>
        </w:rPr>
      </w:r>
    </w:p>
    <w:p>
      <w:pPr>
        <w:pStyle w:val="Normal"/>
        <w:widowControl w:val="false"/>
        <w:rPr>
          <w:sz w:val="24"/>
        </w:rPr>
      </w:pPr>
      <w:r>
        <w:rPr>
          <w:b/>
          <w:sz w:val="24"/>
          <w:u w:val="single"/>
        </w:rPr>
        <w:t>Summary</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sz w:val="24"/>
        </w:rPr>
      </w:pPr>
      <w:r>
        <w:rPr>
          <w:sz w:val="24"/>
        </w:rPr>
        <w:t>I am an experienced project financier with a legal background who has recently completed a successful term as Chief Executive of the Treasury Taskforce.  I spent the early part of my career with Linklaters &amp; Paines where I formed and ran the firm's project finance group.  I joined Kleinwort Benson in 1994 and became global co-head of the merged project finance businesses of Kleinwort Benson and Dresdner Bank before joining the Treasury in 1997.  For the past three years I have been responsible for revitalising the British Government’s private financing programme, known as the Private Finance Initiative, and making it into a success story.  I combine strong team-building and management skills with widespread experience of privatisations and a deep understanding of the structuring and execution of privately financed infrastructure projects.  I currently carry out a role that gives me a unique perspective of the public private interface in the United Kingdom, and I also have broad international experience at senior level.  I am well-known as a speaker on private finance programmes and the challenges of public and private co-operation.</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b/>
          <w:sz w:val="24"/>
          <w:u w:val="single"/>
        </w:rPr>
      </w:pPr>
      <w:r>
        <w:rPr>
          <w:b/>
          <w:sz w:val="24"/>
          <w:u w:val="single"/>
        </w:rPr>
        <w:t>Career History</w:t>
      </w:r>
    </w:p>
    <w:p>
      <w:pPr>
        <w:pStyle w:val="Normal"/>
        <w:widowControl w:val="false"/>
        <w:rPr>
          <w:b/>
          <w:sz w:val="24"/>
          <w:u w:val="single"/>
        </w:rPr>
      </w:pPr>
      <w:r>
        <w:rPr>
          <w:b/>
          <w:sz w:val="24"/>
          <w:u w:val="single"/>
        </w:rPr>
      </w:r>
    </w:p>
    <w:p>
      <w:pPr>
        <w:pStyle w:val="Normal"/>
        <w:widowControl w:val="false"/>
        <w:numPr>
          <w:ilvl w:val="0"/>
          <w:numId w:val="1"/>
        </w:numPr>
        <w:rPr>
          <w:b/>
          <w:sz w:val="24"/>
        </w:rPr>
      </w:pPr>
      <w:r>
        <w:rPr>
          <w:b/>
          <w:sz w:val="24"/>
        </w:rPr>
        <w:t>Partnerships UK</w:t>
      </w:r>
    </w:p>
    <w:p>
      <w:pPr>
        <w:pStyle w:val="Normal"/>
        <w:widowControl w:val="false"/>
        <w:ind w:firstLine="720" w:start="720" w:end="0"/>
        <w:rPr>
          <w:b/>
          <w:sz w:val="24"/>
        </w:rPr>
      </w:pPr>
      <w:r>
        <w:rPr>
          <w:b/>
          <w:sz w:val="24"/>
        </w:rPr>
        <w:t>Deputy Chairman</w:t>
      </w:r>
    </w:p>
    <w:p>
      <w:pPr>
        <w:pStyle w:val="Normal"/>
        <w:widowControl w:val="false"/>
        <w:rPr/>
      </w:pPr>
      <w:r>
        <w:rPr>
          <w:b/>
          <w:sz w:val="24"/>
        </w:rPr>
        <w:t>1997-2000</w:t>
      </w:r>
      <w:r>
        <w:rPr>
          <w:sz w:val="24"/>
        </w:rPr>
        <w:tab/>
      </w:r>
      <w:r>
        <w:rPr>
          <w:b/>
          <w:sz w:val="24"/>
        </w:rPr>
        <w:t>Treasury Taskforce</w:t>
      </w:r>
    </w:p>
    <w:p>
      <w:pPr>
        <w:pStyle w:val="Normal"/>
        <w:widowControl w:val="false"/>
        <w:rPr>
          <w:b/>
          <w:sz w:val="24"/>
        </w:rPr>
      </w:pPr>
      <w:r>
        <w:rPr>
          <w:b/>
          <w:sz w:val="24"/>
        </w:rPr>
        <w:tab/>
        <w:tab/>
        <w:t>Chief Executive</w:t>
      </w:r>
    </w:p>
    <w:p>
      <w:pPr>
        <w:pStyle w:val="Normal"/>
        <w:widowControl w:val="false"/>
        <w:rPr>
          <w:b/>
          <w:sz w:val="24"/>
        </w:rPr>
      </w:pPr>
      <w:r>
        <w:rPr>
          <w:b/>
          <w:sz w:val="24"/>
        </w:rPr>
      </w:r>
    </w:p>
    <w:p>
      <w:pPr>
        <w:pStyle w:val="Normal"/>
        <w:widowControl w:val="false"/>
        <w:rPr>
          <w:sz w:val="24"/>
        </w:rPr>
      </w:pPr>
      <w:r>
        <w:rPr>
          <w:sz w:val="24"/>
        </w:rPr>
        <w:t>In 1997 I was headhunted to become the head of the Treasury Taskforce, the new unit inside HM Treasury that the Labour Government wished to form in order to revitalise the Private Finance Initiative.  I was appointed in August 1997 on a two-year fixed term contract, extended several times, with a reporting line direct to the Government Minister responsible for the PFI (initially the Paymaster General, now the Chief Secretary of the Treasury).  The Treasury Taskforce was the focal point across Government for all private finance transactions, responsible for the policy aspects of the PFI and for the successful implementation of significant transactions.</w:t>
      </w:r>
    </w:p>
    <w:p>
      <w:pPr>
        <w:pStyle w:val="Normal"/>
        <w:widowControl w:val="false"/>
        <w:rPr>
          <w:sz w:val="24"/>
        </w:rPr>
      </w:pPr>
      <w:r>
        <w:rPr>
          <w:sz w:val="24"/>
        </w:rPr>
      </w:r>
    </w:p>
    <w:p>
      <w:pPr>
        <w:pStyle w:val="Normal"/>
        <w:widowControl w:val="false"/>
        <w:rPr>
          <w:sz w:val="24"/>
        </w:rPr>
      </w:pPr>
      <w:r>
        <w:rPr>
          <w:sz w:val="24"/>
        </w:rPr>
        <w:t>As Chief Executive I was the Accounting Officer responsible for the administration of the Taskforce's financial affairs.  I recruited and oversaw a team of private sector professionals, initially 8 in number but ultimately some 20 strong, who were primarily responsible for managing the deal-flow.  I became involved directly in deals on particularly sensitive transactions (like the Channel Tunnel Rail Link and London Underground) when Ministers needed commercial and financial advice at a senior level.  I was responsible for co-ordination with the parallel policy team of civil servants within the Taskforce and for promoting PFI and the wider Public Private Partnership programme both within Government and with the private sector.  I dealt frequently with the national and trade press.</w:t>
      </w:r>
    </w:p>
    <w:p>
      <w:pPr>
        <w:pStyle w:val="Normal"/>
        <w:widowControl w:val="false"/>
        <w:rPr>
          <w:sz w:val="24"/>
        </w:rPr>
      </w:pPr>
      <w:r>
        <w:rPr>
          <w:sz w:val="24"/>
        </w:rPr>
      </w:r>
    </w:p>
    <w:p>
      <w:pPr>
        <w:pStyle w:val="Normal"/>
        <w:widowControl w:val="false"/>
        <w:rPr>
          <w:sz w:val="24"/>
        </w:rPr>
      </w:pPr>
      <w:r>
        <w:rPr>
          <w:sz w:val="24"/>
        </w:rPr>
        <w:t xml:space="preserve">The Treasury Taskforce was widely seen as having made a major contribution to the success of PFI under the Labour Government.  Since May 1997, some £11bn of new PFI deals have reached financial close.  The private sector has recognised the impact that the Taskforce has made by bringing order to the PFI and improving and expediting the tendering process.  The Taskforce has come to be seen as a model for other countries seeking to introduce a private finance programme, including several members of the EU, Japan, South Africa and Poland. </w:t>
      </w:r>
    </w:p>
    <w:p>
      <w:pPr>
        <w:pStyle w:val="Normal"/>
        <w:widowControl w:val="false"/>
        <w:rPr>
          <w:sz w:val="24"/>
        </w:rPr>
      </w:pPr>
      <w:r>
        <w:rPr>
          <w:sz w:val="24"/>
        </w:rPr>
      </w:r>
    </w:p>
    <w:p>
      <w:pPr>
        <w:pStyle w:val="Normal"/>
        <w:widowControl w:val="false"/>
        <w:rPr>
          <w:sz w:val="24"/>
        </w:rPr>
      </w:pPr>
      <w:r>
        <w:rPr>
          <w:sz w:val="24"/>
        </w:rPr>
        <w:t xml:space="preserve">In July 1999 the Government announced that it was proposing to create a new public private partnership, called Partnerships UK, to take over from the Taskforce and spearhead the development of the next stage of its policies for involving the private sector in improving the quality of public services.  Partnerships UK was formally launched in June this year, and with the handover to its new Chief Executive now almost complete I am free to make preparations for a return to the City.  </w:t>
      </w:r>
    </w:p>
    <w:p>
      <w:pPr>
        <w:pStyle w:val="Normal"/>
        <w:widowControl w:val="false"/>
        <w:rPr>
          <w:sz w:val="24"/>
        </w:rPr>
      </w:pPr>
      <w:r>
        <w:rPr>
          <w:sz w:val="24"/>
        </w:rPr>
      </w:r>
    </w:p>
    <w:p>
      <w:pPr>
        <w:pStyle w:val="Normal"/>
        <w:widowControl w:val="false"/>
        <w:rPr>
          <w:sz w:val="24"/>
        </w:rPr>
      </w:pPr>
      <w:r>
        <w:rPr>
          <w:sz w:val="24"/>
        </w:rPr>
        <w:t xml:space="preserve">I hold several non-executive appointments.   I am the Deputy Chairman of Partnerships UK.  I am also a part-time member of the new Strategic Rail Authority, a member of the Dutch Government’s Advisory Panel on Public Private Partnerships and a non-executive director of Cellmark AB, a Swedish company which is the world’s largest independent trader of pulp and paper products.  Whether I can continue in these roles is a matter for discussion once I take up a new position. </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b/>
          <w:sz w:val="24"/>
        </w:rPr>
      </w:pPr>
      <w:r>
        <w:rPr>
          <w:b/>
          <w:sz w:val="24"/>
        </w:rPr>
        <w:t>1997</w:t>
        <w:tab/>
        <w:tab/>
        <w:t>Dresdner Kleinwort Benson</w:t>
      </w:r>
    </w:p>
    <w:p>
      <w:pPr>
        <w:pStyle w:val="Normal"/>
        <w:widowControl w:val="false"/>
        <w:rPr>
          <w:b/>
          <w:sz w:val="24"/>
        </w:rPr>
      </w:pPr>
      <w:r>
        <w:rPr>
          <w:b/>
          <w:sz w:val="24"/>
        </w:rPr>
        <w:tab/>
        <w:tab/>
        <w:t>Co-head, Global Project Finance</w:t>
      </w:r>
    </w:p>
    <w:p>
      <w:pPr>
        <w:pStyle w:val="Normal"/>
        <w:widowControl w:val="false"/>
        <w:rPr>
          <w:sz w:val="24"/>
        </w:rPr>
      </w:pPr>
      <w:r>
        <w:rPr>
          <w:b/>
          <w:sz w:val="24"/>
        </w:rPr>
        <w:tab/>
        <w:tab/>
        <w:t>Member, Executive Committee, Kleinwort Benson Limited</w:t>
      </w:r>
    </w:p>
    <w:p>
      <w:pPr>
        <w:pStyle w:val="Normal"/>
        <w:widowControl w:val="false"/>
        <w:rPr>
          <w:sz w:val="24"/>
        </w:rPr>
      </w:pPr>
      <w:r>
        <w:rPr>
          <w:sz w:val="24"/>
        </w:rPr>
      </w:r>
    </w:p>
    <w:p>
      <w:pPr>
        <w:pStyle w:val="Normal"/>
        <w:widowControl w:val="false"/>
        <w:rPr>
          <w:sz w:val="24"/>
        </w:rPr>
      </w:pPr>
      <w:r>
        <w:rPr>
          <w:sz w:val="24"/>
        </w:rPr>
        <w:t>Shortly before I was approached to head the Treasury Taskforce, I had been appointed to lead, jointly with a Co-head in Frankfurt, the merged project finance businesses of Kleinwort Benson and Dresdner Bank. This was primarily a management role, reporting to the Head of Global Finance in Frankfurt, although I continued to be concerned with the origination and supervision of a limited number of major transactions. The principal responsibilities of the Co-heads of Global Project Finance were:</w:t>
      </w:r>
    </w:p>
    <w:p>
      <w:pPr>
        <w:pStyle w:val="Normal"/>
        <w:widowControl w:val="false"/>
        <w:rPr>
          <w:sz w:val="24"/>
        </w:rPr>
      </w:pPr>
      <w:r>
        <w:rPr>
          <w:sz w:val="24"/>
        </w:rPr>
      </w:r>
    </w:p>
    <w:p>
      <w:pPr>
        <w:pStyle w:val="Normal"/>
        <w:widowControl w:val="false"/>
        <w:ind w:hanging="360" w:start="360" w:end="0"/>
        <w:rPr>
          <w:sz w:val="24"/>
        </w:rPr>
      </w:pPr>
      <w:r>
        <w:rPr>
          <w:sz w:val="24"/>
        </w:rPr>
        <w:t>•</w:t>
      </w:r>
      <w:r>
        <w:rPr>
          <w:sz w:val="24"/>
        </w:rPr>
        <w:tab/>
        <w:t>to manage the worldwide integration of the project advisory business of Kleinwort Benson with the lending business of Dresdner Bank; and</w:t>
      </w:r>
    </w:p>
    <w:p>
      <w:pPr>
        <w:pStyle w:val="Normal"/>
        <w:widowControl w:val="false"/>
        <w:rPr>
          <w:sz w:val="24"/>
        </w:rPr>
      </w:pPr>
      <w:r>
        <w:rPr>
          <w:sz w:val="24"/>
        </w:rPr>
      </w:r>
    </w:p>
    <w:p>
      <w:pPr>
        <w:pStyle w:val="Normal"/>
        <w:widowControl w:val="false"/>
        <w:ind w:hanging="360" w:start="360" w:end="0"/>
        <w:rPr>
          <w:sz w:val="24"/>
        </w:rPr>
      </w:pPr>
      <w:r>
        <w:rPr>
          <w:sz w:val="24"/>
        </w:rPr>
        <w:t>•</w:t>
      </w:r>
      <w:r>
        <w:rPr>
          <w:sz w:val="24"/>
        </w:rPr>
        <w:tab/>
        <w:t>to expand the resources and products available to the merged businesses with a view to enhancing their profitability as a major part of Global Finance.</w:t>
      </w:r>
    </w:p>
    <w:p>
      <w:pPr>
        <w:pStyle w:val="Normal"/>
        <w:widowControl w:val="false"/>
        <w:rPr>
          <w:sz w:val="24"/>
        </w:rPr>
      </w:pPr>
      <w:r>
        <w:rPr>
          <w:sz w:val="24"/>
        </w:rPr>
      </w:r>
    </w:p>
    <w:p>
      <w:pPr>
        <w:pStyle w:val="Normal"/>
        <w:widowControl w:val="false"/>
        <w:rPr>
          <w:sz w:val="24"/>
        </w:rPr>
      </w:pPr>
      <w:r>
        <w:rPr>
          <w:sz w:val="24"/>
        </w:rPr>
        <w:t>The medium term objective was to secure Top 10 status as an arranger of project debt facilities. I was jointly responsible for a team of 120 professionals and a loan book of approx £2 bn.</w:t>
      </w:r>
    </w:p>
    <w:p>
      <w:pPr>
        <w:pStyle w:val="Normal"/>
        <w:widowControl w:val="false"/>
        <w:rPr>
          <w:sz w:val="24"/>
        </w:rPr>
      </w:pPr>
      <w:r>
        <w:rPr>
          <w:sz w:val="24"/>
        </w:rPr>
        <w:br/>
      </w:r>
      <w:r>
        <w:br w:type="page"/>
      </w:r>
    </w:p>
    <w:p>
      <w:pPr>
        <w:pStyle w:val="Normal"/>
        <w:widowControl w:val="false"/>
        <w:rPr>
          <w:sz w:val="24"/>
        </w:rPr>
      </w:pPr>
      <w:r>
        <w:rPr>
          <w:sz w:val="24"/>
        </w:rPr>
      </w:r>
    </w:p>
    <w:p>
      <w:pPr>
        <w:pStyle w:val="Normal"/>
        <w:widowControl w:val="false"/>
        <w:rPr>
          <w:b/>
          <w:sz w:val="24"/>
        </w:rPr>
      </w:pPr>
      <w:r>
        <w:rPr>
          <w:b/>
          <w:sz w:val="24"/>
        </w:rPr>
        <w:t>1994-97</w:t>
        <w:tab/>
        <w:t>Kleinwort Benson Limited</w:t>
      </w:r>
    </w:p>
    <w:p>
      <w:pPr>
        <w:pStyle w:val="Normal"/>
        <w:widowControl w:val="false"/>
        <w:rPr>
          <w:b/>
          <w:sz w:val="24"/>
        </w:rPr>
      </w:pPr>
      <w:r>
        <w:rPr>
          <w:b/>
          <w:sz w:val="24"/>
        </w:rPr>
        <w:tab/>
        <w:t xml:space="preserve"> </w:t>
        <w:tab/>
        <w:t xml:space="preserve">Head (initially Co-head) of the Project &amp; Export Finance </w:t>
        <w:tab/>
        <w:tab/>
        <w:tab/>
        <w:t>Department</w:t>
      </w:r>
    </w:p>
    <w:p>
      <w:pPr>
        <w:pStyle w:val="Normal"/>
        <w:widowControl w:val="false"/>
        <w:rPr>
          <w:b/>
          <w:sz w:val="24"/>
        </w:rPr>
      </w:pPr>
      <w:r>
        <w:rPr>
          <w:b/>
          <w:sz w:val="24"/>
        </w:rPr>
      </w:r>
    </w:p>
    <w:p>
      <w:pPr>
        <w:pStyle w:val="Normal"/>
        <w:widowControl w:val="false"/>
        <w:rPr>
          <w:b/>
          <w:sz w:val="24"/>
        </w:rPr>
      </w:pPr>
      <w:r>
        <w:rPr>
          <w:b/>
          <w:sz w:val="24"/>
        </w:rPr>
      </w:r>
    </w:p>
    <w:p>
      <w:pPr>
        <w:pStyle w:val="Normal"/>
        <w:widowControl w:val="false"/>
        <w:tabs>
          <w:tab w:val="clear" w:pos="720"/>
          <w:tab w:val="left" w:pos="0" w:leader="none"/>
        </w:tabs>
        <w:rPr>
          <w:sz w:val="24"/>
        </w:rPr>
      </w:pPr>
      <w:r>
        <w:rPr>
          <w:sz w:val="24"/>
        </w:rPr>
        <w:t>I joined Kleinwort Benson initially as a corporate finance director but was quickly asked to take on a mandate to integrate the previously separate project advisory and export finance departments and to make project finance a recognised core business and a growing contributor to profitability. This involved strengthening the team and giving it a new sense of commitment and self-confidence and, with the acquisition of Kleinwort Benson by Dresdner Bank in 1995, adding a project lending capability in London to KB's existing advisory business by recruiting a new dedicated team to develop this new activity. Although based in the financing department, I acted as a bridge between that department and corporate finance in the energy, oil and gas and infrastructure sectors in originating a number of large deals.  Much of my time was devoted to managerial responsibilities, but I continued to lead KB teams on significant transactions, including:</w:t>
      </w:r>
    </w:p>
    <w:p>
      <w:pPr>
        <w:pStyle w:val="Normal"/>
        <w:widowControl w:val="false"/>
        <w:rPr>
          <w:sz w:val="24"/>
        </w:rPr>
      </w:pPr>
      <w:r>
        <w:rPr>
          <w:sz w:val="24"/>
        </w:rPr>
      </w:r>
    </w:p>
    <w:p>
      <w:pPr>
        <w:pStyle w:val="Normal"/>
        <w:widowControl w:val="false"/>
        <w:ind w:hanging="360" w:start="360" w:end="0"/>
        <w:rPr>
          <w:sz w:val="24"/>
        </w:rPr>
      </w:pPr>
      <w:r>
        <w:rPr>
          <w:sz w:val="24"/>
        </w:rPr>
        <w:t>•</w:t>
      </w:r>
      <w:r>
        <w:rPr>
          <w:sz w:val="24"/>
        </w:rPr>
        <w:tab/>
        <w:t>advising the Government of Bolivia in connection with the US$2.2bn natural gas pipeline to new gas markets in SE Brazil; and</w:t>
      </w:r>
    </w:p>
    <w:p>
      <w:pPr>
        <w:pStyle w:val="Normal"/>
        <w:widowControl w:val="false"/>
        <w:rPr>
          <w:sz w:val="24"/>
        </w:rPr>
      </w:pPr>
      <w:r>
        <w:rPr>
          <w:sz w:val="24"/>
        </w:rPr>
      </w:r>
    </w:p>
    <w:p>
      <w:pPr>
        <w:pStyle w:val="Normal"/>
        <w:widowControl w:val="false"/>
        <w:ind w:hanging="360" w:start="360" w:end="0"/>
        <w:rPr>
          <w:sz w:val="24"/>
        </w:rPr>
      </w:pPr>
      <w:r>
        <w:rPr>
          <w:sz w:val="24"/>
        </w:rPr>
        <w:t>•</w:t>
      </w:r>
      <w:r>
        <w:rPr>
          <w:sz w:val="24"/>
        </w:rPr>
        <w:tab/>
        <w:t>leading the KB team responsible for advising Eurotunnel on the restructuring of its £9.2 bn project debt facilities.</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b/>
          <w:sz w:val="24"/>
        </w:rPr>
      </w:pPr>
      <w:r>
        <w:rPr>
          <w:b/>
          <w:sz w:val="24"/>
        </w:rPr>
        <w:t>1971-94  Linklaters &amp; Paines, Solicitors</w:t>
      </w:r>
    </w:p>
    <w:p>
      <w:pPr>
        <w:pStyle w:val="Normal"/>
        <w:widowControl w:val="false"/>
        <w:rPr>
          <w:b/>
          <w:sz w:val="24"/>
        </w:rPr>
      </w:pPr>
      <w:r>
        <w:rPr>
          <w:b/>
          <w:sz w:val="24"/>
        </w:rPr>
        <w:tab/>
        <w:t xml:space="preserve">   1988-94</w:t>
        <w:tab/>
        <w:t>Head of Projects Group</w:t>
      </w:r>
    </w:p>
    <w:p>
      <w:pPr>
        <w:pStyle w:val="Normal"/>
        <w:widowControl w:val="false"/>
        <w:rPr>
          <w:b/>
          <w:sz w:val="24"/>
        </w:rPr>
      </w:pPr>
      <w:r>
        <w:rPr>
          <w:b/>
          <w:sz w:val="24"/>
        </w:rPr>
        <w:tab/>
        <w:t xml:space="preserve">   1979</w:t>
        <w:tab/>
        <w:tab/>
        <w:t>Elected to Partnership</w:t>
      </w:r>
    </w:p>
    <w:p>
      <w:pPr>
        <w:pStyle w:val="Normal"/>
        <w:widowControl w:val="false"/>
        <w:rPr>
          <w:b/>
          <w:sz w:val="24"/>
        </w:rPr>
      </w:pPr>
      <w:r>
        <w:rPr>
          <w:b/>
          <w:sz w:val="24"/>
        </w:rPr>
        <w:tab/>
        <w:t xml:space="preserve">   1974-77</w:t>
        <w:tab/>
        <w:t>Assistant Solicitor in the Paris office</w:t>
      </w:r>
    </w:p>
    <w:p>
      <w:pPr>
        <w:pStyle w:val="Normal"/>
        <w:widowControl w:val="false"/>
        <w:rPr>
          <w:b/>
          <w:sz w:val="24"/>
        </w:rPr>
      </w:pPr>
      <w:r>
        <w:rPr>
          <w:b/>
          <w:sz w:val="24"/>
        </w:rPr>
        <w:tab/>
        <w:t xml:space="preserve">   1973</w:t>
        <w:tab/>
        <w:tab/>
        <w:t>Admitted as a solicitor</w:t>
        <w:tab/>
      </w:r>
    </w:p>
    <w:p>
      <w:pPr>
        <w:pStyle w:val="Normal"/>
        <w:widowControl w:val="false"/>
        <w:rPr>
          <w:b/>
          <w:sz w:val="24"/>
        </w:rPr>
      </w:pPr>
      <w:r>
        <w:rPr>
          <w:b/>
          <w:sz w:val="24"/>
        </w:rPr>
      </w:r>
    </w:p>
    <w:p>
      <w:pPr>
        <w:pStyle w:val="Normal"/>
        <w:widowControl w:val="false"/>
        <w:rPr>
          <w:b/>
          <w:sz w:val="24"/>
        </w:rPr>
      </w:pPr>
      <w:r>
        <w:rPr>
          <w:b/>
          <w:sz w:val="24"/>
        </w:rPr>
      </w:r>
    </w:p>
    <w:p>
      <w:pPr>
        <w:pStyle w:val="Normal"/>
        <w:widowControl w:val="false"/>
        <w:rPr>
          <w:sz w:val="24"/>
        </w:rPr>
      </w:pPr>
      <w:r>
        <w:rPr>
          <w:sz w:val="24"/>
        </w:rPr>
        <w:t xml:space="preserve">The Projects Group at L&amp;P grew out of the Firm's experience of handling the Eurotunnel project which demonstrated the importance of bringing together in a single group lawyers possessing the different multi-disciplinary legal skills required to advise on all aspects of the development and financing of privately financed infrastructure projects.  L&amp;P's project group quickly grew to assume a market leading position.  I was the head of the group from its inception until I left the Firm.  I was responsible for the management of the group but also took a leading role in advising clients on a series of major transactions in the UK and overseas.  </w:t>
      </w:r>
    </w:p>
    <w:p>
      <w:pPr>
        <w:pStyle w:val="Normal"/>
        <w:widowControl w:val="false"/>
        <w:rPr>
          <w:sz w:val="24"/>
        </w:rPr>
      </w:pPr>
      <w:r>
        <w:rPr>
          <w:sz w:val="24"/>
        </w:rPr>
      </w:r>
    </w:p>
    <w:p>
      <w:pPr>
        <w:pStyle w:val="Normal"/>
        <w:widowControl w:val="false"/>
        <w:rPr>
          <w:sz w:val="24"/>
        </w:rPr>
      </w:pPr>
      <w:r>
        <w:rPr>
          <w:sz w:val="24"/>
        </w:rPr>
        <w:t xml:space="preserve">I had considerable experience of privatisations, advising National Power on the privatisation of the electricity industry in England and Wales and the Department of Transport on the privatisation of the railway industry.  But most of my time was spent in advising on the structuring, negotiation and financing of capital projects in a wide variety of countries.  I had wide experience in the oil and gas, energy, transportation, </w:t>
        <w:br/>
      </w:r>
      <w:r>
        <w:br w:type="page"/>
      </w:r>
    </w:p>
    <w:p>
      <w:pPr>
        <w:pStyle w:val="Normal"/>
        <w:widowControl w:val="false"/>
        <w:rPr>
          <w:sz w:val="24"/>
        </w:rPr>
      </w:pPr>
      <w:r>
        <w:rPr>
          <w:sz w:val="24"/>
        </w:rPr>
        <w:t>agricultural and mining and metals sectors, and was concerned with projects in the UK, Europe, Africa, Asia and Australia.  Some of the projects were particularly well-known:  Eurotunnel is a household name, and the Teesside Power Project and the Dabhol Power Project in India were milestone transactions in the development of the independent power industry.</w:t>
      </w:r>
    </w:p>
    <w:p>
      <w:pPr>
        <w:pStyle w:val="Normal"/>
        <w:widowControl w:val="false"/>
        <w:rPr>
          <w:sz w:val="24"/>
        </w:rPr>
      </w:pPr>
      <w:r>
        <w:rPr>
          <w:sz w:val="24"/>
        </w:rPr>
      </w:r>
    </w:p>
    <w:p>
      <w:pPr>
        <w:pStyle w:val="Normal"/>
        <w:widowControl w:val="false"/>
        <w:rPr>
          <w:sz w:val="24"/>
        </w:rPr>
      </w:pPr>
      <w:r>
        <w:rPr>
          <w:sz w:val="24"/>
        </w:rPr>
      </w:r>
    </w:p>
    <w:p>
      <w:pPr>
        <w:pStyle w:val="Normal"/>
        <w:widowControl w:val="false"/>
        <w:rPr>
          <w:b/>
          <w:sz w:val="24"/>
          <w:u w:val="single"/>
        </w:rPr>
      </w:pPr>
      <w:r>
        <w:rPr>
          <w:b/>
          <w:sz w:val="24"/>
          <w:u w:val="single"/>
        </w:rPr>
        <w:t>Education</w:t>
      </w:r>
    </w:p>
    <w:p>
      <w:pPr>
        <w:pStyle w:val="Normal"/>
        <w:widowControl w:val="false"/>
        <w:rPr>
          <w:b/>
          <w:sz w:val="24"/>
          <w:u w:val="single"/>
        </w:rPr>
      </w:pPr>
      <w:r>
        <w:rPr>
          <w:b/>
          <w:sz w:val="24"/>
          <w:u w:val="single"/>
        </w:rPr>
      </w:r>
    </w:p>
    <w:p>
      <w:pPr>
        <w:pStyle w:val="Normal"/>
        <w:widowControl w:val="false"/>
        <w:rPr>
          <w:sz w:val="24"/>
        </w:rPr>
      </w:pPr>
      <w:r>
        <w:rPr>
          <w:sz w:val="24"/>
        </w:rPr>
        <w:tab/>
        <w:t>1971</w:t>
        <w:tab/>
        <w:tab/>
        <w:t>Law Society Qualifying Exam Part II         2nd Class Honours</w:t>
        <w:tab/>
        <w:t>1967-70</w:t>
        <w:tab/>
        <w:t>Trinity Hall, Cambridge</w:t>
        <w:tab/>
        <w:t xml:space="preserve">  MA (Law), 1st Class Honours</w:t>
      </w:r>
    </w:p>
    <w:p>
      <w:pPr>
        <w:pStyle w:val="Normal"/>
        <w:widowControl w:val="false"/>
        <w:rPr>
          <w:sz w:val="24"/>
        </w:rPr>
      </w:pPr>
      <w:r>
        <w:rPr>
          <w:sz w:val="24"/>
        </w:rPr>
        <w:tab/>
        <w:t>1961-67</w:t>
        <w:tab/>
        <w:t>Mill Hill School</w:t>
      </w:r>
    </w:p>
    <w:p>
      <w:pPr>
        <w:pStyle w:val="Normal"/>
        <w:widowControl w:val="false"/>
        <w:rPr>
          <w:sz w:val="24"/>
        </w:rPr>
      </w:pPr>
      <w:r>
        <w:rPr>
          <w:sz w:val="24"/>
        </w:rPr>
      </w:r>
    </w:p>
    <w:p>
      <w:pPr>
        <w:pStyle w:val="Normal"/>
        <w:widowControl w:val="false"/>
        <w:rPr>
          <w:b/>
          <w:sz w:val="24"/>
          <w:u w:val="single"/>
        </w:rPr>
      </w:pPr>
      <w:r>
        <w:rPr>
          <w:b/>
          <w:sz w:val="24"/>
          <w:u w:val="single"/>
        </w:rPr>
        <w:t>Personal Details</w:t>
      </w:r>
    </w:p>
    <w:p>
      <w:pPr>
        <w:pStyle w:val="Normal"/>
        <w:widowControl w:val="false"/>
        <w:rPr>
          <w:b/>
          <w:sz w:val="24"/>
          <w:u w:val="single"/>
        </w:rPr>
      </w:pPr>
      <w:r>
        <w:rPr>
          <w:b/>
          <w:sz w:val="24"/>
          <w:u w:val="single"/>
        </w:rPr>
      </w:r>
    </w:p>
    <w:p>
      <w:pPr>
        <w:pStyle w:val="Normal"/>
        <w:widowControl w:val="false"/>
        <w:rPr>
          <w:sz w:val="24"/>
        </w:rPr>
      </w:pPr>
      <w:r>
        <w:rPr>
          <w:sz w:val="24"/>
        </w:rPr>
        <w:t>Full Name:</w:t>
        <w:tab/>
        <w:tab/>
        <w:t>Adrian Alastair Montague</w:t>
      </w:r>
    </w:p>
    <w:p>
      <w:pPr>
        <w:pStyle w:val="Normal"/>
        <w:widowControl w:val="false"/>
        <w:rPr>
          <w:sz w:val="24"/>
        </w:rPr>
      </w:pPr>
      <w:r>
        <w:rPr>
          <w:sz w:val="24"/>
        </w:rPr>
        <w:t>Date of birth:</w:t>
        <w:tab/>
        <w:tab/>
        <w:t>28 February 1948</w:t>
      </w:r>
    </w:p>
    <w:p>
      <w:pPr>
        <w:pStyle w:val="Normal"/>
        <w:widowControl w:val="false"/>
        <w:rPr>
          <w:sz w:val="24"/>
        </w:rPr>
      </w:pPr>
      <w:r>
        <w:rPr>
          <w:sz w:val="24"/>
        </w:rPr>
        <w:t>Home address:</w:t>
        <w:tab/>
        <w:tab/>
        <w:t>Pegsdon Barns,</w:t>
      </w:r>
    </w:p>
    <w:p>
      <w:pPr>
        <w:pStyle w:val="Normal"/>
        <w:widowControl w:val="false"/>
        <w:rPr>
          <w:b/>
          <w:sz w:val="24"/>
        </w:rPr>
      </w:pPr>
      <w:r>
        <w:rPr>
          <w:sz w:val="24"/>
        </w:rPr>
        <w:tab/>
        <w:tab/>
        <w:tab/>
        <w:t>Pegsdon,</w:t>
      </w:r>
    </w:p>
    <w:p>
      <w:pPr>
        <w:pStyle w:val="Normal"/>
        <w:widowControl w:val="false"/>
        <w:rPr/>
      </w:pPr>
      <w:r>
        <w:rPr>
          <w:b/>
          <w:sz w:val="24"/>
        </w:rPr>
        <w:tab/>
        <w:tab/>
        <w:tab/>
      </w:r>
      <w:r>
        <w:rPr>
          <w:sz w:val="24"/>
        </w:rPr>
        <w:t>nr Hitchin,</w:t>
      </w:r>
    </w:p>
    <w:p>
      <w:pPr>
        <w:pStyle w:val="Normal"/>
        <w:widowControl w:val="false"/>
        <w:rPr>
          <w:sz w:val="24"/>
        </w:rPr>
      </w:pPr>
      <w:r>
        <w:rPr>
          <w:sz w:val="24"/>
        </w:rPr>
        <w:tab/>
        <w:tab/>
        <w:tab/>
        <w:t>Herts SG5 3JY</w:t>
      </w:r>
    </w:p>
    <w:p>
      <w:pPr>
        <w:pStyle w:val="Normal"/>
        <w:widowControl w:val="false"/>
        <w:rPr>
          <w:sz w:val="24"/>
        </w:rPr>
      </w:pPr>
      <w:r>
        <w:rPr>
          <w:sz w:val="24"/>
        </w:rPr>
        <w:t>Telephone Nos:</w:t>
        <w:tab/>
        <w:t>home</w:t>
        <w:tab/>
        <w:tab/>
        <w:t>01582 881334  (home fax  01582 881201)</w:t>
      </w:r>
    </w:p>
    <w:p>
      <w:pPr>
        <w:pStyle w:val="Normal"/>
        <w:widowControl w:val="false"/>
        <w:rPr>
          <w:sz w:val="24"/>
        </w:rPr>
      </w:pPr>
      <w:r>
        <w:rPr>
          <w:sz w:val="24"/>
        </w:rPr>
        <w:tab/>
        <w:tab/>
        <w:tab/>
        <w:t>home E-mail    adrian.montague@talk21.com</w:t>
      </w:r>
    </w:p>
    <w:p>
      <w:pPr>
        <w:pStyle w:val="Normal"/>
        <w:widowControl w:val="false"/>
        <w:rPr/>
      </w:pPr>
      <w:r>
        <w:rPr>
          <w:sz w:val="24"/>
        </w:rPr>
        <w:t>Marital status</w:t>
        <w:tab/>
        <w:tab/>
        <w:t>married with 4 children</w:t>
      </w:r>
      <w:r>
        <w:rPr>
          <w:i/>
          <w:sz w:val="24"/>
        </w:rPr>
        <w:t xml:space="preserve"> </w:t>
      </w:r>
      <w:r>
        <w:rPr>
          <w:sz w:val="24"/>
        </w:rPr>
        <w:t xml:space="preserve"> </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00"/>
      <w:numFmt w:val="decimal"/>
      <w:lvlText w:val="%1-"/>
      <w:lvlJc w:val="start"/>
      <w:pPr>
        <w:tabs>
          <w:tab w:val="num" w:pos="1440"/>
        </w:tabs>
        <w:ind w:start="144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2000-10-01T08:32:00Z</dcterms:created>
  <dc:creator>montague</dc:creator>
  <dc:description/>
  <dc:language>en-CA</dc:language>
  <cp:lastModifiedBy>AMontague</cp:lastModifiedBy>
  <cp:lastPrinted>2000-05-18T22:44:00Z</cp:lastPrinted>
  <dcterms:modified xsi:type="dcterms:W3CDTF">2000-10-02T07:48:00Z</dcterms:modified>
  <cp:revision>3</cp:revision>
  <dc:subject/>
  <dc:title>Curriculum vitae</dc:title>
</cp:coreProperties>
</file>