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166"/>
        <w:rPr/>
      </w:pPr>
      <w:r>
        <w:rPr/>
      </w:r>
    </w:p>
    <w:p>
      <w:pPr>
        <w:pStyle w:val="Normal"/>
        <w:rPr/>
      </w:pPr>
      <w:r>
        <w:rPr/>
      </w:r>
    </w:p>
    <w:p>
      <w:pPr>
        <w:pStyle w:val="Normal"/>
        <w:rPr/>
      </w:pPr>
      <w:r>
        <w:rPr/>
      </w:r>
    </w:p>
    <w:p>
      <w:pPr>
        <w:pStyle w:val="Normal"/>
        <w:rPr/>
      </w:pPr>
      <w:r>
        <w:rPr/>
        <w:tab/>
      </w:r>
    </w:p>
    <w:p>
      <w:pPr>
        <w:pStyle w:val="Normal"/>
        <w:rPr/>
      </w:pPr>
      <w:r>
        <w:rPr/>
        <w:tab/>
      </w:r>
    </w:p>
    <w:p>
      <w:pPr>
        <w:pStyle w:val="Header"/>
        <w:tabs>
          <w:tab w:val="clear" w:pos="4320"/>
          <w:tab w:val="clear" w:pos="8640"/>
        </w:tabs>
        <w:rPr/>
      </w:pPr>
      <w:r>
        <w:rPr/>
      </w:r>
    </w:p>
    <w:p>
      <w:pPr>
        <w:pStyle w:val="Normal"/>
        <w:ind w:firstLine="540" w:end="-18"/>
        <w:rPr>
          <w:sz w:val="24"/>
        </w:rPr>
      </w:pPr>
      <w:r>
        <w:rPr>
          <w:sz w:val="24"/>
        </w:rPr>
        <w:t>August 22, 2000</w:t>
      </w:r>
    </w:p>
    <w:p>
      <w:pPr>
        <w:pStyle w:val="Normal"/>
        <w:ind w:firstLine="540" w:end="-18"/>
        <w:rPr>
          <w:sz w:val="24"/>
        </w:rPr>
      </w:pPr>
      <w:r>
        <w:rPr>
          <w:sz w:val="24"/>
        </w:rPr>
      </w:r>
    </w:p>
    <w:p>
      <w:pPr>
        <w:pStyle w:val="Normal"/>
        <w:ind w:firstLine="540" w:end="-18"/>
        <w:rPr>
          <w:sz w:val="24"/>
        </w:rPr>
      </w:pPr>
      <w:r>
        <w:rPr>
          <w:sz w:val="24"/>
        </w:rPr>
      </w:r>
    </w:p>
    <w:p>
      <w:pPr>
        <w:pStyle w:val="Normal"/>
        <w:ind w:firstLine="540" w:end="-18"/>
        <w:rPr>
          <w:sz w:val="24"/>
        </w:rPr>
      </w:pPr>
      <w:r>
        <w:rPr>
          <w:sz w:val="24"/>
        </w:rPr>
        <w:t>Mark Haedicke</w:t>
      </w:r>
    </w:p>
    <w:p>
      <w:pPr>
        <w:pStyle w:val="Normal"/>
        <w:ind w:firstLine="540" w:end="-18"/>
        <w:rPr>
          <w:sz w:val="24"/>
        </w:rPr>
      </w:pPr>
      <w:r>
        <w:rPr>
          <w:sz w:val="24"/>
        </w:rPr>
        <w:t>Managing Director &amp; General Counsel</w:t>
      </w:r>
    </w:p>
    <w:p>
      <w:pPr>
        <w:pStyle w:val="Normal"/>
        <w:ind w:firstLine="540" w:end="-18"/>
        <w:rPr>
          <w:sz w:val="24"/>
        </w:rPr>
      </w:pPr>
      <w:r>
        <w:rPr>
          <w:sz w:val="24"/>
        </w:rPr>
        <w:t>Enron North America Corp.</w:t>
      </w:r>
    </w:p>
    <w:p>
      <w:pPr>
        <w:pStyle w:val="Normal"/>
        <w:ind w:firstLine="540" w:end="-18"/>
        <w:rPr>
          <w:sz w:val="24"/>
        </w:rPr>
      </w:pPr>
      <w:r>
        <w:rPr>
          <w:sz w:val="24"/>
        </w:rPr>
        <w:t>P.O. Box 1188</w:t>
      </w:r>
    </w:p>
    <w:p>
      <w:pPr>
        <w:pStyle w:val="Normal"/>
        <w:ind w:firstLine="540" w:end="-18"/>
        <w:rPr>
          <w:sz w:val="24"/>
        </w:rPr>
      </w:pPr>
      <w:r>
        <w:rPr>
          <w:sz w:val="24"/>
        </w:rPr>
        <w:t>Houston, TX  77251-1188</w:t>
      </w:r>
    </w:p>
    <w:p>
      <w:pPr>
        <w:pStyle w:val="Normal"/>
        <w:ind w:firstLine="540" w:end="-18"/>
        <w:rPr>
          <w:sz w:val="24"/>
        </w:rPr>
      </w:pPr>
      <w:r>
        <w:rPr>
          <w:sz w:val="24"/>
        </w:rPr>
      </w:r>
    </w:p>
    <w:p>
      <w:pPr>
        <w:pStyle w:val="Normal"/>
        <w:ind w:firstLine="720" w:start="720" w:end="-18"/>
        <w:rPr>
          <w:sz w:val="24"/>
        </w:rPr>
      </w:pPr>
      <w:r>
        <w:rPr>
          <w:sz w:val="24"/>
        </w:rPr>
        <w:t>Re:</w:t>
        <w:tab/>
        <w:t xml:space="preserve">Legal and/or Regulatory Position </w:t>
      </w:r>
    </w:p>
    <w:p>
      <w:pPr>
        <w:pStyle w:val="Normal"/>
        <w:ind w:start="540" w:end="-18"/>
        <w:rPr>
          <w:sz w:val="24"/>
        </w:rPr>
      </w:pPr>
      <w:r>
        <w:rPr>
          <w:sz w:val="24"/>
        </w:rPr>
      </w:r>
    </w:p>
    <w:p>
      <w:pPr>
        <w:pStyle w:val="Normal"/>
        <w:ind w:start="540" w:end="-18"/>
        <w:rPr>
          <w:sz w:val="24"/>
        </w:rPr>
      </w:pPr>
      <w:r>
        <w:rPr>
          <w:sz w:val="24"/>
        </w:rPr>
        <w:t>Dear Mark:</w:t>
      </w:r>
    </w:p>
    <w:p>
      <w:pPr>
        <w:pStyle w:val="Normal"/>
        <w:ind w:start="540" w:end="-18"/>
        <w:rPr>
          <w:sz w:val="24"/>
        </w:rPr>
      </w:pPr>
      <w:r>
        <w:rPr>
          <w:sz w:val="24"/>
        </w:rPr>
      </w:r>
    </w:p>
    <w:p>
      <w:pPr>
        <w:pStyle w:val="Normal"/>
        <w:ind w:start="540" w:end="-18"/>
        <w:rPr>
          <w:sz w:val="24"/>
        </w:rPr>
      </w:pPr>
      <w:r>
        <w:rPr>
          <w:sz w:val="24"/>
        </w:rPr>
        <w:t xml:space="preserve">I am currently Senior Counsel for Engage Energy US, L.P. (“Engage”).  Engage is a marketer of   natural gas and electric power products and services.  Engage is a subsidiary of The Coastal Corporation (“Coastal”).  </w:t>
      </w:r>
    </w:p>
    <w:p>
      <w:pPr>
        <w:pStyle w:val="Normal"/>
        <w:ind w:start="540" w:end="-18"/>
        <w:rPr>
          <w:sz w:val="24"/>
        </w:rPr>
      </w:pPr>
      <w:r>
        <w:rPr>
          <w:sz w:val="24"/>
        </w:rPr>
      </w:r>
    </w:p>
    <w:p>
      <w:pPr>
        <w:pStyle w:val="Normal"/>
        <w:ind w:start="540" w:end="-18"/>
        <w:rPr>
          <w:spacing w:val="-2"/>
          <w:sz w:val="24"/>
        </w:rPr>
      </w:pPr>
      <w:r>
        <w:rPr>
          <w:spacing w:val="-2"/>
          <w:sz w:val="24"/>
        </w:rPr>
        <w:t>As Senior Counsel, I handle all major contractual matters for Engage associated with the company’s electric marketing and sales operations.  I also represent the company in industry trade groups, before the Federal Energy Regulatory Commission (“FERC”) and in state regulatory proceedings.  I also handle drafting and review of all futures instruments and derivative products for both the electric and gas sides of the business.</w:t>
      </w:r>
    </w:p>
    <w:p>
      <w:pPr>
        <w:pStyle w:val="Normal"/>
        <w:ind w:start="540" w:end="-18"/>
        <w:rPr>
          <w:spacing w:val="-2"/>
          <w:sz w:val="24"/>
        </w:rPr>
      </w:pPr>
      <w:r>
        <w:rPr>
          <w:spacing w:val="-2"/>
          <w:sz w:val="24"/>
        </w:rPr>
      </w:r>
    </w:p>
    <w:p>
      <w:pPr>
        <w:pStyle w:val="BodyTextIndent2"/>
        <w:ind w:start="540" w:end="-18"/>
        <w:rPr/>
      </w:pPr>
      <w:r>
        <w:rPr/>
        <w:t xml:space="preserve">My main focus at Engage has been to handle all of Engage’s major Tolling Agreements and Power Purchase and Sales Agreements.  Drafting of Tolling Agreements requires legal expertise in natural gas and electric power and requires both federal and state regulatory background and experience. </w:t>
      </w:r>
    </w:p>
    <w:p>
      <w:pPr>
        <w:pStyle w:val="Normal"/>
        <w:ind w:start="540" w:end="-18"/>
        <w:rPr>
          <w:sz w:val="24"/>
        </w:rPr>
      </w:pPr>
      <w:r>
        <w:rPr>
          <w:sz w:val="24"/>
        </w:rPr>
      </w:r>
    </w:p>
    <w:p>
      <w:pPr>
        <w:pStyle w:val="Normal"/>
        <w:ind w:start="540" w:end="-18"/>
        <w:rPr>
          <w:sz w:val="24"/>
        </w:rPr>
      </w:pPr>
      <w:r>
        <w:rPr>
          <w:sz w:val="24"/>
        </w:rPr>
        <w:t>In the one year period I have been with the company, the tolling and other agreements I have drafted and/or participated in negotiating have led to already realized profits of in excess of $9 million and to anticipated profits of $24 million, numbers well in excess of the company’s profits for the previous three years combined.</w:t>
      </w:r>
    </w:p>
    <w:p>
      <w:pPr>
        <w:pStyle w:val="Normal"/>
        <w:ind w:start="540" w:end="-18"/>
        <w:rPr>
          <w:sz w:val="24"/>
        </w:rPr>
      </w:pPr>
      <w:r>
        <w:rPr>
          <w:sz w:val="24"/>
        </w:rPr>
      </w:r>
    </w:p>
    <w:p>
      <w:pPr>
        <w:pStyle w:val="Normal"/>
        <w:ind w:start="540" w:end="-18"/>
        <w:rPr>
          <w:sz w:val="24"/>
        </w:rPr>
      </w:pPr>
      <w:r>
        <w:rPr>
          <w:sz w:val="24"/>
        </w:rPr>
        <w:t>Engage’s power marketing group also operates in tandem with Coastal Power Company (“Coastal Power”) to purchase and/or construct gas-fired merchant generation and to market the output of such facilities.  Coastal Power is The Coastal Corporation’s generation subsidiary.</w:t>
      </w:r>
    </w:p>
    <w:p>
      <w:pPr>
        <w:pStyle w:val="Normal"/>
        <w:ind w:start="540" w:end="-18"/>
        <w:rPr>
          <w:sz w:val="24"/>
        </w:rPr>
      </w:pPr>
      <w:r>
        <w:rPr>
          <w:sz w:val="24"/>
        </w:rPr>
      </w:r>
    </w:p>
    <w:p>
      <w:pPr>
        <w:pStyle w:val="Normal"/>
        <w:ind w:start="540" w:end="-18"/>
        <w:rPr>
          <w:sz w:val="24"/>
        </w:rPr>
      </w:pPr>
      <w:r>
        <w:rPr>
          <w:sz w:val="24"/>
        </w:rPr>
        <w:t xml:space="preserve">As you may know, The Coastal Corporation is in the process of merging with El Paso Energy Corporation.  That process is expected to be completed by the end of this year.  </w:t>
      </w:r>
    </w:p>
    <w:p>
      <w:pPr>
        <w:pStyle w:val="Normal"/>
        <w:ind w:start="540" w:end="-18"/>
        <w:rPr>
          <w:sz w:val="24"/>
        </w:rPr>
      </w:pPr>
      <w:r>
        <w:rPr>
          <w:sz w:val="24"/>
        </w:rPr>
      </w:r>
    </w:p>
    <w:p>
      <w:pPr>
        <w:pStyle w:val="Normal"/>
        <w:ind w:start="540" w:end="-18"/>
        <w:rPr>
          <w:sz w:val="24"/>
        </w:rPr>
      </w:pPr>
      <w:r>
        <w:rPr>
          <w:sz w:val="24"/>
        </w:rPr>
        <w:t xml:space="preserve">As a part of the overall restructuring process that is taking place, Engage is being reorganized.  Engage is a limited partnership.  Portions of Engage are going to be transferred to each of the two owners of the Engage, Westcoast and Coastal.  Virtually all of the clients I support for the main body of my power practice here, the large “structured power” deals, are being shifted to a Westcoast subsidiary, while I am remaining with Engage, the Coastal subsidiary.  In light of the merger, and in light of the fact that I am no longer supporting any significant client base here at Engage suggests that I would be wise to examine what other opportunities are available at this time, despite the fact that I have only been with Engage for a year.        </w:t>
      </w:r>
    </w:p>
    <w:p>
      <w:pPr>
        <w:pStyle w:val="Normal"/>
        <w:ind w:start="540" w:end="-18"/>
        <w:rPr>
          <w:sz w:val="24"/>
        </w:rPr>
      </w:pPr>
      <w:r>
        <w:rPr>
          <w:sz w:val="24"/>
        </w:rPr>
      </w:r>
    </w:p>
    <w:p>
      <w:pPr>
        <w:pStyle w:val="Normal"/>
        <w:ind w:start="540" w:end="-18"/>
        <w:rPr>
          <w:sz w:val="24"/>
        </w:rPr>
      </w:pPr>
      <w:r>
        <w:rPr>
          <w:sz w:val="24"/>
        </w:rPr>
        <w:t xml:space="preserve">For five years prior to moving over to Engage, I was Chief Legal Counsel, Natural Gas for New York State Electric &amp; Gas Corporation (“NYSEG”).  NYSEG a combination utility company.   NYSEG is the main subsidiary of Energy East Corporation, a PUHCA holding company. </w:t>
      </w:r>
    </w:p>
    <w:p>
      <w:pPr>
        <w:pStyle w:val="Normal"/>
        <w:ind w:start="540" w:end="-18"/>
        <w:rPr>
          <w:sz w:val="24"/>
        </w:rPr>
      </w:pPr>
      <w:r>
        <w:rPr>
          <w:sz w:val="24"/>
        </w:rPr>
      </w:r>
    </w:p>
    <w:p>
      <w:pPr>
        <w:pStyle w:val="Normal"/>
        <w:ind w:start="540" w:end="-18"/>
        <w:rPr>
          <w:sz w:val="24"/>
        </w:rPr>
      </w:pPr>
      <w:r>
        <w:rPr>
          <w:sz w:val="24"/>
        </w:rPr>
        <w:t xml:space="preserve">As the Chief Gas Counsel at NYSEG, I handled virtually all contracts made by the NYSEG’s Gas Business Unit - from gas contracts to software development agreements to high technology projects.   While my title at NYSEG was Chief  Legal Counsel, Natural Gas,  I also represented Energy East’s FERC-regulated electric power marketing subsidiary, and represented Energy East’s generation and telecommunications subsidiaries, being responsible for all of the contract and regulatory support for those subsidiary operations.  </w:t>
      </w:r>
    </w:p>
    <w:p>
      <w:pPr>
        <w:pStyle w:val="Normal"/>
        <w:ind w:start="540" w:end="-18"/>
        <w:rPr>
          <w:sz w:val="24"/>
        </w:rPr>
      </w:pPr>
      <w:r>
        <w:rPr>
          <w:sz w:val="24"/>
        </w:rPr>
      </w:r>
    </w:p>
    <w:p>
      <w:pPr>
        <w:pStyle w:val="Normal"/>
        <w:ind w:start="540" w:end="-18"/>
        <w:rPr>
          <w:sz w:val="24"/>
        </w:rPr>
      </w:pPr>
      <w:r>
        <w:rPr>
          <w:sz w:val="24"/>
        </w:rPr>
        <w:t xml:space="preserve">NYSEG is a unique utility company.  It is the only gas utility which I know of that operates under a strict price cap, with the price cap including the commodity price for gas.  NYSEG’s electric operations have similar price caps in effect.  So, NYSEG operates very much like an independent marketer in many respects, using appropriate commodity hedging strategies and entering into freely negotiated contracts with commercial and industrial customers. </w:t>
      </w:r>
    </w:p>
    <w:p>
      <w:pPr>
        <w:pStyle w:val="Normal"/>
        <w:ind w:start="540" w:end="-18"/>
        <w:rPr>
          <w:sz w:val="24"/>
        </w:rPr>
      </w:pPr>
      <w:r>
        <w:rPr>
          <w:sz w:val="24"/>
        </w:rPr>
      </w:r>
    </w:p>
    <w:p>
      <w:pPr>
        <w:pStyle w:val="Normal"/>
        <w:ind w:start="540" w:end="-18"/>
        <w:rPr>
          <w:sz w:val="24"/>
        </w:rPr>
      </w:pPr>
      <w:r>
        <w:rPr>
          <w:sz w:val="24"/>
        </w:rPr>
        <w:t xml:space="preserve">During my tenure at NYSEG, NYSEG became the first company to successfully develop a high deliverability salt dome cavern storage project in the northeast.  I personally handled the contested regulatory litigation for this multiple phase salt dome storage project. </w:t>
      </w:r>
    </w:p>
    <w:p>
      <w:pPr>
        <w:pStyle w:val="Normal"/>
        <w:ind w:start="540" w:end="-18"/>
        <w:rPr>
          <w:sz w:val="24"/>
        </w:rPr>
      </w:pPr>
      <w:r>
        <w:rPr>
          <w:sz w:val="24"/>
        </w:rPr>
      </w:r>
    </w:p>
    <w:p>
      <w:pPr>
        <w:pStyle w:val="Normal"/>
        <w:ind w:start="540" w:end="-18"/>
        <w:rPr>
          <w:sz w:val="24"/>
        </w:rPr>
      </w:pPr>
      <w:r>
        <w:rPr>
          <w:sz w:val="24"/>
        </w:rPr>
        <w:t xml:space="preserve">As a part of NYSEG’s continuous growth focus, I also personally handled the joint venture agreements and other formation activities for a project whereby NYSEG is partnering with Central Maine Power Company (“CMP”) to bring natural gas to the State of Maine, taking advantage of the imminent construction of a new major interstate pipeline through the area.  </w:t>
      </w:r>
    </w:p>
    <w:p>
      <w:pPr>
        <w:pStyle w:val="Normal"/>
        <w:ind w:start="540" w:end="-18"/>
        <w:rPr>
          <w:sz w:val="24"/>
        </w:rPr>
      </w:pPr>
      <w:r>
        <w:rPr>
          <w:sz w:val="24"/>
        </w:rPr>
      </w:r>
    </w:p>
    <w:p>
      <w:pPr>
        <w:pStyle w:val="Normal"/>
        <w:ind w:start="540" w:end="-18"/>
        <w:rPr>
          <w:sz w:val="24"/>
        </w:rPr>
      </w:pPr>
      <w:r>
        <w:rPr>
          <w:sz w:val="24"/>
        </w:rPr>
        <w:t xml:space="preserve">I have a strong big deal contracting background, including a number of power plant purchase deals and related Power Purchase Agreement experience.  I am up to date on the mechanics and substance of the restructuring that is taking place in the energy marketplace and I understand the potential impacts of these changes on plant operations.  I also have a working knowledge of North American Electric Reliability Council (“NERC”) Operating Procedures. </w:t>
      </w:r>
    </w:p>
    <w:p>
      <w:pPr>
        <w:pStyle w:val="Normal"/>
        <w:ind w:start="540" w:end="-18"/>
        <w:rPr>
          <w:sz w:val="24"/>
        </w:rPr>
      </w:pPr>
      <w:r>
        <w:rPr>
          <w:sz w:val="24"/>
        </w:rPr>
      </w:r>
    </w:p>
    <w:p>
      <w:pPr>
        <w:pStyle w:val="BodyTextIndent2"/>
        <w:ind w:start="540" w:end="-18"/>
        <w:rPr/>
      </w:pPr>
      <w:r>
        <w:rPr/>
        <w:t>As my resume demonstrates, I have a broad spectrum of knowledge in the energy industry.  Such broad-based knowledge is, in my view, an essential asset to properly undertake the role as counsel for an energy-related enterprise in the current business environment.</w:t>
      </w:r>
    </w:p>
    <w:p>
      <w:pPr>
        <w:pStyle w:val="Normal"/>
        <w:ind w:start="540" w:end="-18"/>
        <w:rPr>
          <w:sz w:val="24"/>
        </w:rPr>
      </w:pPr>
      <w:r>
        <w:rPr>
          <w:sz w:val="24"/>
        </w:rPr>
      </w:r>
    </w:p>
    <w:p>
      <w:pPr>
        <w:pStyle w:val="BlockText"/>
        <w:ind w:start="540" w:end="-18"/>
        <w:rPr/>
      </w:pPr>
      <w:r>
        <w:rPr/>
        <w:t xml:space="preserve">Presently, I am looking for a new challenge and opportunity.  I look happily on the contributions I  made here at Engage and at NYSEG.  </w:t>
      </w:r>
    </w:p>
    <w:p>
      <w:pPr>
        <w:pStyle w:val="Normal"/>
        <w:ind w:start="540" w:end="-18"/>
        <w:rPr>
          <w:sz w:val="24"/>
        </w:rPr>
      </w:pPr>
      <w:r>
        <w:rPr>
          <w:sz w:val="24"/>
        </w:rPr>
      </w:r>
    </w:p>
    <w:p>
      <w:pPr>
        <w:pStyle w:val="Normal"/>
        <w:ind w:start="540" w:end="-18"/>
        <w:rPr>
          <w:sz w:val="24"/>
        </w:rPr>
      </w:pPr>
      <w:r>
        <w:rPr>
          <w:sz w:val="24"/>
        </w:rPr>
        <w:t>Enclosed is a copy of my resume.  If you are interested in talking to me, please contact me at (713) 877-7446 (work) or contact me by mail at 1419 Nevada St., Houston, TX  77006.  You can also contact me in the evening at my home number (713) 520-1987.  My cell phone number is (713) 857-6768.  My internet address is luke.mickum@engageenergy.com.</w:t>
      </w:r>
    </w:p>
    <w:p>
      <w:pPr>
        <w:pStyle w:val="Normal"/>
        <w:ind w:start="540" w:end="-18"/>
        <w:rPr>
          <w:sz w:val="24"/>
        </w:rPr>
      </w:pPr>
      <w:r>
        <w:rPr>
          <w:sz w:val="24"/>
        </w:rPr>
      </w:r>
    </w:p>
    <w:p>
      <w:pPr>
        <w:pStyle w:val="Normal"/>
        <w:ind w:start="540" w:end="-18"/>
        <w:rPr>
          <w:sz w:val="24"/>
        </w:rPr>
      </w:pPr>
      <w:r>
        <w:rPr>
          <w:sz w:val="24"/>
        </w:rPr>
        <w:t xml:space="preserve">If you are not looking at this time, but perhaps know someone who is, I would appreciate a quick call or if you could pass my resume on to that individual(s) or organization.  Thank you for your consideration. </w:t>
      </w:r>
    </w:p>
    <w:p>
      <w:pPr>
        <w:pStyle w:val="Normal"/>
        <w:ind w:start="540" w:end="-18"/>
        <w:rPr>
          <w:sz w:val="24"/>
        </w:rPr>
      </w:pPr>
      <w:r>
        <w:rPr>
          <w:sz w:val="24"/>
        </w:rPr>
      </w:r>
    </w:p>
    <w:p>
      <w:pPr>
        <w:pStyle w:val="Normal"/>
        <w:ind w:start="540" w:end="-18"/>
        <w:rPr>
          <w:sz w:val="24"/>
        </w:rPr>
      </w:pPr>
      <w:r>
        <w:rPr>
          <w:sz w:val="24"/>
        </w:rPr>
      </w:r>
    </w:p>
    <w:p>
      <w:pPr>
        <w:pStyle w:val="Normal"/>
        <w:ind w:start="540" w:end="-18"/>
        <w:rPr>
          <w:sz w:val="24"/>
        </w:rPr>
      </w:pPr>
      <w:r>
        <w:rPr>
          <w:sz w:val="24"/>
        </w:rPr>
        <w:t>Very truly yours,</w:t>
      </w:r>
    </w:p>
    <w:p>
      <w:pPr>
        <w:pStyle w:val="Normal"/>
        <w:ind w:start="540" w:end="-18"/>
        <w:rPr>
          <w:sz w:val="24"/>
        </w:rPr>
      </w:pPr>
      <w:r>
        <w:rPr>
          <w:sz w:val="24"/>
        </w:rPr>
      </w:r>
    </w:p>
    <w:p>
      <w:pPr>
        <w:pStyle w:val="Normal"/>
        <w:ind w:start="540" w:end="-18"/>
        <w:rPr>
          <w:sz w:val="24"/>
        </w:rPr>
      </w:pPr>
      <w:r>
        <w:rPr>
          <w:sz w:val="24"/>
        </w:rPr>
      </w:r>
    </w:p>
    <w:p>
      <w:pPr>
        <w:pStyle w:val="Normal"/>
        <w:ind w:start="540" w:end="-18"/>
        <w:rPr>
          <w:sz w:val="24"/>
        </w:rPr>
      </w:pPr>
      <w:r>
        <w:rPr>
          <w:sz w:val="24"/>
        </w:rPr>
      </w:r>
    </w:p>
    <w:p>
      <w:pPr>
        <w:pStyle w:val="Normal"/>
        <w:ind w:start="540" w:end="-18"/>
        <w:rPr>
          <w:sz w:val="24"/>
        </w:rPr>
      </w:pPr>
      <w:r>
        <w:rPr>
          <w:sz w:val="24"/>
        </w:rPr>
        <w:t>Luke A. Mickum</w:t>
      </w:r>
    </w:p>
    <w:p>
      <w:pPr>
        <w:pStyle w:val="Normal"/>
        <w:ind w:start="540" w:end="-18"/>
        <w:rPr>
          <w:sz w:val="24"/>
        </w:rPr>
      </w:pPr>
      <w:r>
        <w:rPr>
          <w:sz w:val="24"/>
        </w:rPr>
        <w:t>Senior Counsel</w:t>
      </w:r>
    </w:p>
    <w:p>
      <w:pPr>
        <w:pStyle w:val="Normal"/>
        <w:ind w:start="540" w:end="-18"/>
        <w:rPr>
          <w:sz w:val="24"/>
        </w:rPr>
      </w:pPr>
      <w:r>
        <w:rPr>
          <w:sz w:val="24"/>
        </w:rPr>
      </w:r>
    </w:p>
    <w:p>
      <w:pPr>
        <w:pStyle w:val="Normal"/>
        <w:ind w:start="540" w:end="-18"/>
        <w:rPr>
          <w:sz w:val="24"/>
        </w:rPr>
      </w:pPr>
      <w:r>
        <w:rPr>
          <w:sz w:val="24"/>
        </w:rPr>
      </w:r>
    </w:p>
    <w:p>
      <w:pPr>
        <w:pStyle w:val="Normal"/>
        <w:ind w:start="540" w:end="-18"/>
        <w:rPr>
          <w:sz w:val="24"/>
        </w:rPr>
      </w:pPr>
      <w:r>
        <w:rPr>
          <w:sz w:val="24"/>
        </w:rPr>
      </w:r>
    </w:p>
    <w:p>
      <w:pPr>
        <w:pStyle w:val="Normal"/>
        <w:ind w:start="540" w:end="-18"/>
        <w:rPr>
          <w:sz w:val="16"/>
        </w:rPr>
      </w:pPr>
      <w:r>
        <w:rPr>
          <w:sz w:val="16"/>
        </w:rPr>
      </w:r>
    </w:p>
    <w:p>
      <w:pPr>
        <w:pStyle w:val="Normal"/>
        <w:ind w:start="540" w:end="-18"/>
        <w:rPr>
          <w:sz w:val="16"/>
        </w:rPr>
      </w:pPr>
      <w:r>
        <w:rPr>
          <w:sz w:val="16"/>
        </w:rPr>
      </w:r>
    </w:p>
    <w:p>
      <w:pPr>
        <w:pStyle w:val="Normal"/>
        <w:ind w:start="540" w:end="-18"/>
        <w:rPr>
          <w:sz w:val="16"/>
        </w:rPr>
      </w:pPr>
      <w:r>
        <w:rPr>
          <w:sz w:val="16"/>
        </w:rPr>
      </w:r>
    </w:p>
    <w:p>
      <w:pPr>
        <w:pStyle w:val="Normal"/>
        <w:ind w:start="540" w:end="-18"/>
        <w:rPr>
          <w:sz w:val="16"/>
        </w:rPr>
      </w:pPr>
      <w:r>
        <w:rPr>
          <w:sz w:val="16"/>
        </w:rPr>
      </w:r>
    </w:p>
    <w:p>
      <w:pPr>
        <w:pStyle w:val="Normal"/>
        <w:ind w:start="540" w:end="-18"/>
        <w:rPr>
          <w:sz w:val="16"/>
        </w:rPr>
      </w:pPr>
      <w:r>
        <w:rPr>
          <w:sz w:val="16"/>
        </w:rPr>
      </w:r>
    </w:p>
    <w:p>
      <w:pPr>
        <w:pStyle w:val="Normal"/>
        <w:ind w:start="540" w:end="-18"/>
        <w:rPr>
          <w:sz w:val="16"/>
        </w:rPr>
      </w:pPr>
      <w:r>
        <w:rPr>
          <w:sz w:val="16"/>
        </w:rPr>
      </w:r>
    </w:p>
    <w:p>
      <w:pPr>
        <w:pStyle w:val="Normal"/>
        <w:ind w:start="540" w:end="-18"/>
        <w:rPr>
          <w:sz w:val="16"/>
        </w:rPr>
      </w:pPr>
      <w:r>
        <w:rPr>
          <w:sz w:val="16"/>
        </w:rPr>
      </w:r>
    </w:p>
    <w:p>
      <w:pPr>
        <w:pStyle w:val="Normal"/>
        <w:ind w:start="540" w:end="-18"/>
        <w:rPr>
          <w:sz w:val="16"/>
        </w:rPr>
      </w:pPr>
      <w:r>
        <w:rPr>
          <w:sz w:val="16"/>
        </w:rPr>
      </w:r>
    </w:p>
    <w:p>
      <w:pPr>
        <w:pStyle w:val="Normal"/>
        <w:ind w:start="540" w:end="-18"/>
        <w:rPr>
          <w:sz w:val="16"/>
        </w:rPr>
      </w:pPr>
      <w:r>
        <w:rPr>
          <w:sz w:val="16"/>
        </w:rPr>
      </w:r>
    </w:p>
    <w:p>
      <w:pPr>
        <w:pStyle w:val="Normal"/>
        <w:ind w:start="540" w:end="-18"/>
        <w:rPr>
          <w:sz w:val="16"/>
        </w:rPr>
      </w:pPr>
      <w:r>
        <w:rPr>
          <w:sz w:val="16"/>
        </w:rPr>
      </w:r>
    </w:p>
    <w:p>
      <w:pPr>
        <w:pStyle w:val="Normal"/>
        <w:ind w:start="540" w:end="-18"/>
        <w:rPr>
          <w:sz w:val="16"/>
        </w:rPr>
      </w:pPr>
      <w:r>
        <w:rPr>
          <w:sz w:val="16"/>
        </w:rPr>
        <w:t xml:space="preserve">enroncovlet   </w:t>
      </w:r>
    </w:p>
    <w:p>
      <w:pPr>
        <w:pStyle w:val="Normal"/>
        <w:ind w:start="540" w:end="-18"/>
        <w:rPr>
          <w:sz w:val="24"/>
        </w:rPr>
      </w:pPr>
      <w:r>
        <w:rPr>
          <w:sz w:val="24"/>
        </w:rPr>
      </w:r>
    </w:p>
    <w:p>
      <w:pPr>
        <w:pStyle w:val="Normal"/>
        <w:ind w:start="540" w:end="-18"/>
        <w:rPr>
          <w:sz w:val="24"/>
        </w:rPr>
      </w:pPr>
      <w:r>
        <w:rPr>
          <w:sz w:val="24"/>
        </w:rPr>
      </w:r>
    </w:p>
    <w:p>
      <w:pPr>
        <w:pStyle w:val="Normal"/>
        <w:ind w:start="540" w:end="-18"/>
        <w:rPr>
          <w:sz w:val="24"/>
        </w:rPr>
      </w:pPr>
      <w:r>
        <w:rPr>
          <w:sz w:val="24"/>
        </w:rPr>
      </w:r>
    </w:p>
    <w:p>
      <w:pPr>
        <w:pStyle w:val="Normal"/>
        <w:ind w:start="540" w:end="-18"/>
        <w:rPr>
          <w:sz w:val="24"/>
        </w:rPr>
      </w:pPr>
      <w:r>
        <w:rPr>
          <w:sz w:val="24"/>
        </w:rPr>
      </w:r>
    </w:p>
    <w:p>
      <w:pPr>
        <w:pStyle w:val="Normal"/>
        <w:ind w:start="540" w:end="-18"/>
        <w:rPr>
          <w:sz w:val="24"/>
        </w:rPr>
      </w:pPr>
      <w:r>
        <w:rPr>
          <w:sz w:val="24"/>
        </w:rPr>
      </w:r>
    </w:p>
    <w:p>
      <w:pPr>
        <w:pStyle w:val="Normal"/>
        <w:ind w:start="540" w:end="-18"/>
        <w:rPr>
          <w:sz w:val="24"/>
        </w:rPr>
      </w:pPr>
      <w:r>
        <w:rPr>
          <w:sz w:val="24"/>
        </w:rPr>
      </w:r>
    </w:p>
    <w:p>
      <w:pPr>
        <w:pStyle w:val="Normal"/>
        <w:ind w:start="540" w:end="-18"/>
        <w:rPr>
          <w:sz w:val="24"/>
        </w:rPr>
      </w:pPr>
      <w:r>
        <w:rPr>
          <w:sz w:val="24"/>
        </w:rPr>
      </w:r>
    </w:p>
    <w:p>
      <w:pPr>
        <w:pStyle w:val="Normal"/>
        <w:ind w:start="540" w:end="-18"/>
        <w:rPr>
          <w:sz w:val="24"/>
        </w:rPr>
      </w:pPr>
      <w:r>
        <w:rPr>
          <w:sz w:val="24"/>
        </w:rPr>
      </w:r>
    </w:p>
    <w:p>
      <w:pPr>
        <w:pStyle w:val="Normal"/>
        <w:ind w:start="540" w:end="-18"/>
        <w:rPr>
          <w:sz w:val="24"/>
        </w:rPr>
      </w:pPr>
      <w:r>
        <w:rPr>
          <w:sz w:val="24"/>
        </w:rPr>
      </w:r>
    </w:p>
    <w:p>
      <w:pPr>
        <w:pStyle w:val="Normal"/>
        <w:ind w:start="540" w:end="-18"/>
        <w:rPr>
          <w:sz w:val="24"/>
        </w:rPr>
      </w:pPr>
      <w:r>
        <w:rPr>
          <w:sz w:val="24"/>
        </w:rPr>
      </w:r>
    </w:p>
    <w:p>
      <w:pPr>
        <w:pStyle w:val="Normal"/>
        <w:ind w:start="540" w:end="-18"/>
        <w:rPr>
          <w:sz w:val="24"/>
        </w:rPr>
      </w:pPr>
      <w:r>
        <w:rPr>
          <w:sz w:val="24"/>
        </w:rPr>
      </w:r>
    </w:p>
    <w:p>
      <w:pPr>
        <w:pStyle w:val="Normal"/>
        <w:ind w:start="540" w:end="-18"/>
        <w:rPr>
          <w:sz w:val="24"/>
        </w:rPr>
      </w:pPr>
      <w:r>
        <w:rPr>
          <w:sz w:val="24"/>
        </w:rPr>
      </w:r>
    </w:p>
    <w:p>
      <w:pPr>
        <w:pStyle w:val="Normal"/>
        <w:ind w:start="540" w:end="-18"/>
        <w:rPr>
          <w:sz w:val="24"/>
        </w:rPr>
      </w:pPr>
      <w:r>
        <w:rPr>
          <w:sz w:val="24"/>
        </w:rPr>
      </w:r>
    </w:p>
    <w:p>
      <w:pPr>
        <w:pStyle w:val="Normal"/>
        <w:ind w:start="540" w:end="-18"/>
        <w:rPr>
          <w:sz w:val="24"/>
        </w:rPr>
      </w:pPr>
      <w:r>
        <w:rPr>
          <w:sz w:val="24"/>
        </w:rPr>
      </w:r>
    </w:p>
    <w:sectPr>
      <w:headerReference w:type="default" r:id="rId2"/>
      <w:headerReference w:type="first" r:id="rId3"/>
      <w:type w:val="nextPage"/>
      <w:pgSz w:w="12240" w:h="15840"/>
      <w:pgMar w:left="864" w:right="864"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12" w:space="1" w:color="000000"/>
      </w:pBdr>
      <w:rPr/>
    </w:pPr>
    <w:r>
      <w:rPr/>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360" w:leader="none"/>
        <w:tab w:val="right" w:pos="9360" w:leader="none"/>
      </w:tabs>
      <w:suppressAutoHyphens w:val="true"/>
      <w:spacing w:lineRule="exact" w:line="228"/>
      <w:ind w:hanging="360" w:start="-72" w:end="0"/>
      <w:jc w:val="both"/>
    </w:pPr>
    <w:rPr>
      <w:rFonts w:ascii="Courier New" w:hAnsi="Courier New" w:cs="Courier New"/>
      <w:spacing w:val="-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720" w:end="0"/>
    </w:pPr>
    <w:rPr>
      <w:sz w:val="24"/>
    </w:rPr>
  </w:style>
  <w:style w:type="paragraph" w:styleId="BlockText">
    <w:name w:val="Block Text"/>
    <w:basedOn w:val="Normal"/>
    <w:qFormat/>
    <w:pPr>
      <w:ind w:hanging="0" w:start="720" w:end="-806"/>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2000-08-22T12:22:00Z</dcterms:created>
  <dc:creator>NYSEG</dc:creator>
  <dc:description/>
  <dc:language>en-CA</dc:language>
  <cp:lastModifiedBy>MickumL</cp:lastModifiedBy>
  <cp:lastPrinted>2000-08-21T16:55:00Z</cp:lastPrinted>
  <dcterms:modified xsi:type="dcterms:W3CDTF">2000-08-22T12:36:00Z</dcterms:modified>
  <cp:revision>3</cp:revision>
  <dc:subject/>
  <dc:title>Dear         :</dc:title>
</cp:coreProperties>
</file>