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236" w:type="dxa"/>
        <w:jc w:val="start"/>
        <w:tblInd w:w="-721" w:type="dxa"/>
        <w:tblLayout w:type="fixed"/>
        <w:tblCellMar>
          <w:top w:w="0" w:type="dxa"/>
          <w:start w:w="108" w:type="dxa"/>
          <w:bottom w:w="0" w:type="dxa"/>
          <w:end w:w="108" w:type="dxa"/>
        </w:tblCellMar>
      </w:tblPr>
      <w:tblGrid>
        <w:gridCol w:w="2313"/>
        <w:gridCol w:w="6458"/>
        <w:gridCol w:w="2465"/>
      </w:tblGrid>
      <w:tr>
        <w:trPr>
          <w:trHeight w:val="742" w:hRule="atLeast"/>
        </w:trPr>
        <w:tc>
          <w:tcPr>
            <w:tcW w:w="2313" w:type="dxa"/>
            <w:vMerge w:val="restart"/>
            <w:tcBorders/>
          </w:tcPr>
          <w:p>
            <w:pPr>
              <w:pStyle w:val="Normal"/>
              <w:snapToGrid w:val="false"/>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HARRY L. TINDALL*</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CHARLES C. FOSTER**</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ROBERT F. LOUGHRAN**</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ANGELA G. PENCE*</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H. RICHARD SINDELAR III†</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MATTHEW G. THOMPSON</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ALICE M. GRUBER</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LISA M. REID</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KAREN KATZ FELDMAN</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HEATHER M. HUGHES</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LEIGH NELSON±</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MAGALI  S. CANDLER</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KAREN HUNTER-COURRÈGES</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KRISTEN T. BURKE</w:t>
            </w:r>
          </w:p>
          <w:p>
            <w:pPr>
              <w:pStyle w:val="Normal"/>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t>NICOLE LAWRENCE EZER‡</w:t>
            </w:r>
          </w:p>
          <w:p>
            <w:pPr>
              <w:pStyle w:val="Normal"/>
              <w:rPr>
                <w:rFonts w:ascii="Goudy Old Style;Times New Roman" w:hAnsi="Goudy Old Style;Times New Roman" w:cs="Goudy Old Style;Times New Roman"/>
                <w:sz w:val="14"/>
                <w:vertAlign w:val="superscript"/>
              </w:rPr>
            </w:pPr>
            <w:r>
              <w:rPr>
                <w:rFonts w:cs="Goudy Old Style;Times New Roman" w:ascii="Goudy Old Style;Times New Roman" w:hAnsi="Goudy Old Style;Times New Roman"/>
                <w:sz w:val="14"/>
              </w:rPr>
              <w:t>MIKHAIL M. STOLIARENKO</w:t>
            </w:r>
            <w:r>
              <w:rPr>
                <w:rFonts w:eastAsia="Symbol" w:cs="Symbol" w:ascii="Symbol" w:hAnsi="Symbol"/>
                <w:sz w:val="14"/>
                <w:vertAlign w:val="superscript"/>
              </w:rPr>
              <w:sym w:font="Symbol" w:char="f059"/>
            </w:r>
          </w:p>
          <w:p>
            <w:pPr>
              <w:pStyle w:val="Normal"/>
              <w:rPr>
                <w:rFonts w:ascii="Goudy Old Style;Times New Roman" w:hAnsi="Goudy Old Style;Times New Roman" w:cs="Goudy Old Style;Times New Roman"/>
                <w:sz w:val="14"/>
                <w:vertAlign w:val="superscript"/>
              </w:rPr>
            </w:pPr>
            <w:r>
              <w:rPr>
                <w:rFonts w:cs="Goudy Old Style;Times New Roman" w:ascii="Goudy Old Style;Times New Roman" w:hAnsi="Goudy Old Style;Times New Roman"/>
                <w:sz w:val="14"/>
                <w:vertAlign w:val="superscript"/>
              </w:rPr>
            </w:r>
          </w:p>
        </w:tc>
        <w:tc>
          <w:tcPr>
            <w:tcW w:w="6458" w:type="dxa"/>
            <w:tcBorders/>
          </w:tcPr>
          <w:p>
            <w:pPr>
              <w:pStyle w:val="Normal"/>
              <w:jc w:val="center"/>
              <w:rPr>
                <w:rFonts w:ascii="GoudyOlSt BT;Times New Roman" w:hAnsi="GoudyOlSt BT;Times New Roman" w:cs="GoudyOlSt BT;Times New Roman"/>
                <w:sz w:val="30"/>
              </w:rPr>
            </w:pPr>
            <w:r>
              <w:rPr>
                <w:rFonts w:cs="GoudyOlSt BT;Times New Roman" w:ascii="GoudyOlSt BT;Times New Roman" w:hAnsi="GoudyOlSt BT;Times New Roman"/>
                <w:b/>
                <w:smallCaps/>
                <w:sz w:val="30"/>
              </w:rPr>
              <w:t>Tindall &amp; Foster, P.C.</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ATTORNEYS AT LAW</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600 TRAVIS STREET, SUITE 2800</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HOUSTON, TEXAS 77002-3094</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TELEPHONE: (713) 229-8733</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 xml:space="preserve">FAX: (713) 228-1303 </w:t>
            </w:r>
          </w:p>
          <w:p>
            <w:pPr>
              <w:pStyle w:val="Normal"/>
              <w:jc w:val="center"/>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t>www.tindallfoster.com</w:t>
            </w:r>
          </w:p>
          <w:p>
            <w:pPr>
              <w:pStyle w:val="Normal"/>
              <w:rPr>
                <w:rFonts w:ascii="Goudy Old Style;Times New Roman" w:hAnsi="Goudy Old Style;Times New Roman" w:cs="Goudy Old Style;Times New Roman"/>
                <w:sz w:val="16"/>
              </w:rPr>
            </w:pPr>
            <w:r>
              <w:rPr>
                <w:rFonts w:cs="Goudy Old Style;Times New Roman" w:ascii="Goudy Old Style;Times New Roman" w:hAnsi="Goudy Old Style;Times New Roman"/>
                <w:sz w:val="16"/>
              </w:rPr>
            </w:r>
          </w:p>
        </w:tc>
        <w:tc>
          <w:tcPr>
            <w:tcW w:w="2465" w:type="dxa"/>
            <w:vMerge w:val="restart"/>
            <w:tcBorders/>
          </w:tcPr>
          <w:p>
            <w:pPr>
              <w:pStyle w:val="Normal"/>
              <w:snapToGrid w:val="false"/>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t>BOARD CERTIFIED-TEXAS BOARD</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t>OF LEGAL SPECIALIZATION</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t>*FAMILY LAW</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t>** IMMIGRATION &amp; NATIONALITY LAW</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pPr>
            <w:r>
              <w:rPr>
                <w:rFonts w:cs="GoudyOlSt BT;Times New Roman" w:ascii="GoudyOlSt BT;Times New Roman" w:hAnsi="GoudyOlSt BT;Times New Roman"/>
                <w:sz w:val="10"/>
              </w:rPr>
              <w:t>†</w:t>
            </w:r>
            <w:r>
              <w:rPr>
                <w:rFonts w:cs="Goudy Old Style;Times New Roman" w:ascii="Goudy Old Style;Times New Roman" w:hAnsi="Goudy Old Style;Times New Roman"/>
                <w:sz w:val="10"/>
              </w:rPr>
              <w:t>LICENSED IN THE DISTRICT OF COLUMBIA</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pPr>
            <w:r>
              <w:rPr>
                <w:rFonts w:cs="Goudy Old Style;Times New Roman" w:ascii="Goudy Old Style;Times New Roman" w:hAnsi="Goudy Old Style;Times New Roman"/>
                <w:sz w:val="10"/>
                <w:vertAlign w:val="superscript"/>
              </w:rPr>
              <w:t>±</w:t>
            </w:r>
            <w:r>
              <w:rPr>
                <w:rFonts w:cs="Goudy Old Style;Times New Roman" w:ascii="Goudy Old Style;Times New Roman" w:hAnsi="Goudy Old Style;Times New Roman"/>
                <w:sz w:val="10"/>
              </w:rPr>
              <w:t>LICENSED IN THE STATE OF MASSACHUSETTS</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pPr>
            <w:r>
              <w:rPr>
                <w:rFonts w:cs="Goudy Old Style;Times New Roman" w:ascii="Goudy Old Style;Times New Roman" w:hAnsi="Goudy Old Style;Times New Roman"/>
                <w:sz w:val="10"/>
                <w:vertAlign w:val="superscript"/>
              </w:rPr>
              <w:t>‡</w:t>
            </w:r>
            <w:r>
              <w:rPr>
                <w:rFonts w:cs="Goudy Old Style;Times New Roman" w:ascii="Goudy Old Style;Times New Roman" w:hAnsi="Goudy Old Style;Times New Roman"/>
                <w:sz w:val="10"/>
              </w:rPr>
              <w:t>LICENSED IN THE STATE OF HAWAII</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p>
            <w:pPr>
              <w:pStyle w:val="Normal"/>
              <w:jc w:val="center"/>
              <w:rPr/>
            </w:pPr>
            <w:r>
              <w:rPr>
                <w:rFonts w:eastAsia="Symbol" w:cs="Symbol" w:ascii="Symbol" w:hAnsi="Symbol"/>
                <w:sz w:val="10"/>
                <w:vertAlign w:val="superscript"/>
              </w:rPr>
              <w:sym w:font="Symbol" w:char="f059"/>
            </w:r>
            <w:r>
              <w:rPr>
                <w:rFonts w:cs="Goudy Old Style;Times New Roman" w:ascii="Goudy Old Style;Times New Roman" w:hAnsi="Goudy Old Style;Times New Roman"/>
                <w:sz w:val="10"/>
              </w:rPr>
              <w:t>LICENSED IN THE STATE OF NEW YORK</w:t>
            </w:r>
          </w:p>
          <w:p>
            <w:pPr>
              <w:pStyle w:val="Normal"/>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tc>
      </w:tr>
      <w:tr>
        <w:trPr>
          <w:trHeight w:val="742" w:hRule="atLeast"/>
        </w:trPr>
        <w:tc>
          <w:tcPr>
            <w:tcW w:w="2313" w:type="dxa"/>
            <w:vMerge w:val="continue"/>
            <w:tcBorders/>
          </w:tcPr>
          <w:p>
            <w:pPr>
              <w:pStyle w:val="Normal"/>
              <w:snapToGrid w:val="false"/>
              <w:rPr/>
            </w:pPr>
            <w:r>
              <w:rPr/>
            </w:r>
          </w:p>
        </w:tc>
        <w:tc>
          <w:tcPr>
            <w:tcW w:w="6458" w:type="dxa"/>
            <w:tcBorders/>
          </w:tcPr>
          <w:p>
            <w:pPr>
              <w:pStyle w:val="Normal"/>
              <w:snapToGrid w:val="false"/>
              <w:jc w:val="center"/>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p>
            <w:pPr>
              <w:pStyle w:val="Normal"/>
              <w:jc w:val="center"/>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p>
            <w:pPr>
              <w:pStyle w:val="Normal"/>
              <w:jc w:val="center"/>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p>
            <w:pPr>
              <w:pStyle w:val="Normal"/>
              <w:jc w:val="center"/>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tc>
        <w:tc>
          <w:tcPr>
            <w:tcW w:w="2465" w:type="dxa"/>
            <w:vMerge w:val="continue"/>
            <w:tcBorders/>
          </w:tcPr>
          <w:p>
            <w:pPr>
              <w:pStyle w:val="Normal"/>
              <w:snapToGrid w:val="false"/>
              <w:rPr>
                <w:rFonts w:ascii="GoudyOlSt BT;Times New Roman" w:hAnsi="GoudyOlSt BT;Times New Roman" w:cs="GoudyOlSt BT;Times New Roman"/>
                <w:b/>
                <w:smallCaps/>
                <w:sz w:val="30"/>
              </w:rPr>
            </w:pPr>
            <w:r>
              <w:rPr>
                <w:rFonts w:cs="GoudyOlSt BT;Times New Roman" w:ascii="GoudyOlSt BT;Times New Roman" w:hAnsi="GoudyOlSt BT;Times New Roman"/>
                <w:b/>
                <w:smallCaps/>
                <w:sz w:val="30"/>
              </w:rPr>
            </w:r>
          </w:p>
        </w:tc>
      </w:tr>
      <w:tr>
        <w:trPr>
          <w:trHeight w:val="414" w:hRule="atLeast"/>
        </w:trPr>
        <w:tc>
          <w:tcPr>
            <w:tcW w:w="2313" w:type="dxa"/>
            <w:tcBorders/>
          </w:tcPr>
          <w:p>
            <w:pPr>
              <w:pStyle w:val="Normal"/>
              <w:snapToGrid w:val="false"/>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r>
          </w:p>
        </w:tc>
        <w:tc>
          <w:tcPr>
            <w:tcW w:w="6458" w:type="dxa"/>
            <w:tcBorders/>
          </w:tcPr>
          <w:p>
            <w:pPr>
              <w:pStyle w:val="Normal"/>
              <w:snapToGrid w:val="false"/>
              <w:jc w:val="center"/>
              <w:rPr>
                <w:rFonts w:ascii="Goudy Old Style;Times New Roman" w:hAnsi="Goudy Old Style;Times New Roman" w:cs="Goudy Old Style;Times New Roman"/>
                <w:sz w:val="14"/>
              </w:rPr>
            </w:pPr>
            <w:r>
              <w:rPr>
                <w:rFonts w:cs="Goudy Old Style;Times New Roman" w:ascii="Goudy Old Style;Times New Roman" w:hAnsi="Goudy Old Style;Times New Roman"/>
                <w:sz w:val="14"/>
              </w:rPr>
            </w:r>
          </w:p>
        </w:tc>
        <w:tc>
          <w:tcPr>
            <w:tcW w:w="2465" w:type="dxa"/>
            <w:tcBorders/>
          </w:tcPr>
          <w:p>
            <w:pPr>
              <w:pStyle w:val="Normal"/>
              <w:snapToGrid w:val="false"/>
              <w:jc w:val="center"/>
              <w:rPr>
                <w:rFonts w:ascii="Goudy Old Style;Times New Roman" w:hAnsi="Goudy Old Style;Times New Roman" w:cs="Goudy Old Style;Times New Roman"/>
                <w:sz w:val="10"/>
              </w:rPr>
            </w:pPr>
            <w:r>
              <w:rPr>
                <w:rFonts w:cs="Goudy Old Style;Times New Roman" w:ascii="Goudy Old Style;Times New Roman" w:hAnsi="Goudy Old Style;Times New Roman"/>
                <w:sz w:val="10"/>
              </w:rPr>
            </w:r>
          </w:p>
        </w:tc>
      </w:tr>
    </w:tbl>
    <w:p>
      <w:pPr>
        <w:pStyle w:val="Normal"/>
        <w:autoSpaceDE w:val="false"/>
        <w:rPr>
          <w:rFonts w:cs="Courier New"/>
          <w:sz w:val="22"/>
        </w:rPr>
      </w:pPr>
      <w:r>
        <w:rPr>
          <w:rFonts w:cs="Courier New"/>
          <w:sz w:val="22"/>
        </w:rPr>
        <w:t xml:space="preserve">TO:  </w:t>
        <w:tab/>
        <w:tab/>
        <w:t>All Enron F-1 Students</w:t>
      </w:r>
    </w:p>
    <w:p>
      <w:pPr>
        <w:pStyle w:val="Normal"/>
        <w:autoSpaceDE w:val="false"/>
        <w:rPr>
          <w:rFonts w:cs="Courier New"/>
          <w:sz w:val="22"/>
        </w:rPr>
      </w:pPr>
      <w:r>
        <w:rPr>
          <w:rFonts w:cs="Courier New"/>
          <w:sz w:val="22"/>
        </w:rPr>
        <w:t xml:space="preserve">FROM:  </w:t>
        <w:tab/>
        <w:t>Alice M. Gruber</w:t>
      </w:r>
    </w:p>
    <w:p>
      <w:pPr>
        <w:pStyle w:val="Normal"/>
        <w:autoSpaceDE w:val="false"/>
        <w:ind w:hanging="1440" w:start="1440" w:end="0"/>
        <w:rPr/>
      </w:pPr>
      <w:r>
        <w:rPr>
          <w:rFonts w:cs="Courier New"/>
          <w:sz w:val="22"/>
        </w:rPr>
        <w:t>RE:</w:t>
        <w:tab/>
        <w:tab/>
      </w:r>
      <w:r>
        <w:rPr>
          <w:rFonts w:cs="Courier New"/>
          <w:b/>
          <w:bCs/>
          <w:sz w:val="22"/>
        </w:rPr>
        <w:t>F-1 Student Status and the Preference to Change to H-1B Temporary Worker Status As Soon As Possible</w:t>
      </w:r>
    </w:p>
    <w:p>
      <w:pPr>
        <w:pStyle w:val="Normal"/>
        <w:autoSpaceDE w:val="false"/>
        <w:rPr>
          <w:rFonts w:cs="Courier New"/>
          <w:b/>
          <w:bCs/>
          <w:sz w:val="22"/>
        </w:rPr>
      </w:pPr>
      <w:r>
        <w:rPr>
          <w:rFonts w:cs="Courier New"/>
          <w:b/>
          <w:bCs/>
          <w:sz w:val="22"/>
        </w:rPr>
      </w:r>
    </w:p>
    <w:p>
      <w:pPr>
        <w:pStyle w:val="Normal"/>
        <w:widowControl/>
        <w:autoSpaceDE w:val="false"/>
        <w:ind w:firstLine="720" w:end="0"/>
        <w:rPr/>
      </w:pPr>
      <w:r>
        <w:rPr>
          <w:rFonts w:cs="Courier New"/>
          <w:sz w:val="22"/>
        </w:rPr>
        <w:t xml:space="preserve">Please advise what Enron Corp. and the F-1 Student would prefer for the H-1B Temporary Worker start date, considering all of the below.  Filing immediately for H-1B Temporary Worker status is probably the best option, with a start date of approximately four to </w:t>
      </w:r>
      <w:r>
        <w:rPr>
          <w:sz w:val="22"/>
        </w:rPr>
        <w:t xml:space="preserve">eight weeks from the date of filing.  This is based on the below, and we realize that Enron Corp. and the F-1 Student may have other factors which should also be taken into consideration.  </w:t>
      </w:r>
    </w:p>
    <w:p>
      <w:pPr>
        <w:pStyle w:val="Normal"/>
        <w:widowControl/>
        <w:autoSpaceDE w:val="false"/>
        <w:rPr>
          <w:sz w:val="22"/>
        </w:rPr>
      </w:pPr>
      <w:r>
        <w:rPr>
          <w:sz w:val="22"/>
        </w:rPr>
      </w:r>
    </w:p>
    <w:p>
      <w:pPr>
        <w:pStyle w:val="Normal"/>
        <w:widowControl/>
        <w:autoSpaceDE w:val="false"/>
        <w:ind w:firstLine="720" w:end="0"/>
        <w:rPr>
          <w:b/>
          <w:bCs/>
          <w:sz w:val="22"/>
        </w:rPr>
      </w:pPr>
      <w:r>
        <w:rPr>
          <w:b/>
          <w:bCs/>
          <w:sz w:val="22"/>
        </w:rPr>
        <w:t xml:space="preserve">Due to the attack on the World Trade Center and the Pentagon, international arrivals will be much more closely scrutinized than in the past, and we anticipate that F-1 Student visas could be especially troublesome.  </w:t>
      </w:r>
      <w:r>
        <w:rPr>
          <w:rFonts w:cs="Courier New"/>
          <w:b/>
          <w:bCs/>
          <w:sz w:val="22"/>
        </w:rPr>
        <w:t xml:space="preserve">Note that we suggest that filing immediately for H-1B Temporary Worker status is probably the best option, with a start date of approximately four to </w:t>
      </w:r>
      <w:r>
        <w:rPr>
          <w:b/>
          <w:bCs/>
          <w:sz w:val="22"/>
        </w:rPr>
        <w:t>eight weeks from the date of filing.</w:t>
      </w:r>
    </w:p>
    <w:p>
      <w:pPr>
        <w:pStyle w:val="Normal"/>
        <w:autoSpaceDE w:val="false"/>
        <w:rPr>
          <w:b/>
          <w:bCs/>
          <w:sz w:val="22"/>
        </w:rPr>
      </w:pPr>
      <w:r>
        <w:rPr>
          <w:b/>
          <w:bCs/>
          <w:sz w:val="22"/>
        </w:rPr>
      </w:r>
    </w:p>
    <w:p>
      <w:pPr>
        <w:pStyle w:val="BodyTextIndent"/>
        <w:rPr/>
      </w:pPr>
      <w:r>
        <w:rPr/>
        <w:t xml:space="preserve">Generally, F-1 Students like to keep their optional practical training.  F-1 Students like to keep it because in some instances they may not be subject to certain taxes.  They also like to keep it because it essentially adds a full year to the ultimate six years of time to which they are limited in the H-1B status.  Once a foreign national has changed from the F-1 Student status to H-1B Temporary Worker, the foreign national is not allowed to revert to the F-1 Student status to use any left over practical training period time. </w:t>
      </w:r>
    </w:p>
    <w:p>
      <w:pPr>
        <w:pStyle w:val="BodyTextIndent"/>
        <w:rPr/>
      </w:pPr>
      <w:r>
        <w:rPr/>
      </w:r>
    </w:p>
    <w:p>
      <w:pPr>
        <w:pStyle w:val="BodyTextIndent"/>
        <w:rPr>
          <w:color w:val="FF0000"/>
        </w:rPr>
      </w:pPr>
      <w:r>
        <w:rPr>
          <w:color w:val="FF0000"/>
        </w:rPr>
        <w:t>Due to the downturn in the economy and the potential acquisition of Enron Corp. by Dynegy, we realize the F-1 Students may have a strong preference for keeping as much of their EAD time as possible.  F-1 Students may think that it will be easier to find another employer (based on their EAD rather then having a potential new employer bear the cost of amending the H-1B) should the student be laid-off.</w:t>
      </w:r>
    </w:p>
    <w:p>
      <w:pPr>
        <w:pStyle w:val="Normal"/>
        <w:autoSpaceDE w:val="false"/>
        <w:rPr>
          <w:rFonts w:cs="Courier New"/>
          <w:color w:val="FF0000"/>
          <w:sz w:val="22"/>
        </w:rPr>
      </w:pPr>
      <w:r>
        <w:rPr>
          <w:rFonts w:cs="Courier New"/>
          <w:color w:val="FF0000"/>
          <w:sz w:val="22"/>
        </w:rPr>
      </w:r>
    </w:p>
    <w:p>
      <w:pPr>
        <w:pStyle w:val="Normal"/>
        <w:autoSpaceDE w:val="false"/>
        <w:ind w:firstLine="720" w:end="0"/>
        <w:rPr>
          <w:rFonts w:cs="Courier New"/>
          <w:color w:val="FF0000"/>
          <w:sz w:val="22"/>
        </w:rPr>
      </w:pPr>
      <w:r>
        <w:rPr>
          <w:rFonts w:cs="Courier New"/>
          <w:color w:val="FF0000"/>
          <w:sz w:val="22"/>
        </w:rPr>
        <w:t>Please be aware that you should not wait too close to the end of your EAD period in making your choice of when to file the H-1B.  H-1B’s can often take four to twelve weeks for approval, and, in rare cases, sometimes even longer.  We suggest that you allow us to file your H-1B when you have at least four months of time left on your EAD.  There is a new law which allows for Premium Processing by the INS.  The INS is currently premium processing H-1B cases in approximately two to four weeks.   The INS must be paid an extra INS Premium Processing fee of $1000.  Enron Corp. may be hesitant to pay such fee.  (Caution:  Paying the $1000 Premium Processing does not guarantee an approval in two to four weeks.  In some cases, the INS might request additional information which can add several days or weeks of processing time, or, although rare, even deny the petition.)</w:t>
      </w:r>
    </w:p>
    <w:p>
      <w:pPr>
        <w:pStyle w:val="Normal"/>
        <w:autoSpaceDE w:val="false"/>
        <w:rPr>
          <w:rFonts w:cs="Courier New"/>
          <w:color w:val="FF0000"/>
          <w:sz w:val="22"/>
        </w:rPr>
      </w:pPr>
      <w:r>
        <w:rPr>
          <w:rFonts w:cs="Courier New"/>
          <w:color w:val="FF0000"/>
          <w:sz w:val="22"/>
        </w:rPr>
      </w:r>
    </w:p>
    <w:p>
      <w:pPr>
        <w:pStyle w:val="Normal"/>
        <w:autoSpaceDE w:val="false"/>
        <w:ind w:firstLine="720" w:end="0"/>
        <w:rPr/>
      </w:pPr>
      <w:r>
        <w:rPr>
          <w:rFonts w:cs="Courier New"/>
          <w:sz w:val="22"/>
        </w:rPr>
        <w:t xml:space="preserve">We suggest filing immediately for the H-1B status.  We can request a start date as much as six months in the future.  </w:t>
      </w:r>
      <w:r>
        <w:rPr>
          <w:rFonts w:cs="Courier New"/>
          <w:b/>
          <w:bCs/>
          <w:sz w:val="22"/>
        </w:rPr>
        <w:t>(Please note that the INS frequently ignores the requested start date and issues the start date on the date the case is approved.  This is due to INS inefficiency, and it is likely not possible to rectify the error.)</w:t>
      </w:r>
      <w:r>
        <w:rPr>
          <w:rFonts w:cs="Courier New"/>
          <w:sz w:val="22"/>
        </w:rPr>
        <w:t xml:space="preserve">  That would thus leave the F-1 Student at least part of the time allowed by the optional practical training.  One drawback to requesting a start date six months in the future is the travel complications.  Should an F-1 Student be denied entry in the F status, and the H-1B is approved but the start date has been listed several months into the future, then the F-1 Student may be stuck outside the US until the H-1B can be refiled and approved for an earlier start date.  This could mean being stuck outside the US for four to eight weeks, or longer.  Once an F-1 Student is denied entry in the F-1 Student status, overcoming such denial is difficult if not impossible.</w:t>
      </w:r>
    </w:p>
    <w:p>
      <w:pPr>
        <w:pStyle w:val="Normal"/>
        <w:autoSpaceDE w:val="false"/>
        <w:rPr>
          <w:rFonts w:cs="Courier New"/>
          <w:sz w:val="22"/>
        </w:rPr>
      </w:pPr>
      <w:r>
        <w:rPr>
          <w:rFonts w:cs="Courier New"/>
          <w:sz w:val="22"/>
        </w:rPr>
      </w:r>
    </w:p>
    <w:p>
      <w:pPr>
        <w:pStyle w:val="Normal"/>
        <w:autoSpaceDE w:val="false"/>
        <w:ind w:firstLine="720" w:end="0"/>
        <w:rPr>
          <w:rFonts w:cs="Courier New"/>
          <w:sz w:val="22"/>
        </w:rPr>
      </w:pPr>
      <w:r>
        <w:rPr>
          <w:rFonts w:cs="Courier New"/>
          <w:sz w:val="22"/>
        </w:rPr>
        <w:t>We are always a little nervous when we hear that F-1 Students want to travel, after completing school, during their optional practical training, especially if they have not yet received the Employment Authorization Document (EAD) from the INS or if they currently have an expired F visa.  In order to reenter the US, the F-1 Student needs an I-20-ID signed within the last six months by the Designated School Official (DSO) at the university, a valid F visa (sometimes hard to obtain if the current one has expired and the F-1 Student is no longer attending university classes), and the EAD.  Even with all of these documents, sometimes the reentry is troublesome.  If the foreign national enters in any status other than the F-1 student status, the EAD is not valid.  We are aware that many F-1 Students do travel during the optional practical training period and very rarely do they have any problems.  Even F-1 Students who believe that they will not travel on business for the company, sometimes do need to travel due to family emergencies.  Thus the decision to travel becomes one for the F-1 Student and the company to make considering all of the facts.  We would strongly recommend that F-1 Students not travel until receiving the EAD.  Generally, the EAD's are not supposed to be forwarded for address changes, although sometimes they are.</w:t>
      </w:r>
    </w:p>
    <w:p>
      <w:pPr>
        <w:pStyle w:val="Normal"/>
        <w:autoSpaceDE w:val="false"/>
        <w:rPr>
          <w:rFonts w:cs="Courier New"/>
          <w:sz w:val="22"/>
        </w:rPr>
      </w:pPr>
      <w:r>
        <w:rPr>
          <w:rFonts w:cs="Courier New"/>
          <w:sz w:val="22"/>
        </w:rPr>
      </w:r>
    </w:p>
    <w:p>
      <w:pPr>
        <w:pStyle w:val="Normal"/>
        <w:autoSpaceDE w:val="false"/>
        <w:ind w:firstLine="720" w:end="0"/>
        <w:rPr>
          <w:rFonts w:cs="Courier New"/>
          <w:sz w:val="22"/>
        </w:rPr>
      </w:pPr>
      <w:r>
        <w:rPr>
          <w:rFonts w:cs="Courier New"/>
          <w:sz w:val="22"/>
        </w:rPr>
        <w:t>Please answer the following question and sign and date.  We also strongly suggest that you discuss this matter with your immediate superior under whom you will work and have that person sign also.  We recommend such because should you be stuck abroad or should there be other complications, your immediate supervisor is likely the person who will be most affected by your absence and will have input on what option Enron Corp. will pursue, if any, to facilitate your H-1B status and whether Enron Corp. will cover the cost.  Once completed, return to Margaret Daffin with the rest of your documentation and questionnaire.</w:t>
      </w:r>
    </w:p>
    <w:p>
      <w:pPr>
        <w:pStyle w:val="Normal"/>
        <w:autoSpaceDE w:val="false"/>
        <w:rPr>
          <w:rFonts w:cs="Courier New"/>
          <w:sz w:val="22"/>
        </w:rPr>
      </w:pPr>
      <w:r>
        <w:rPr>
          <w:rFonts w:cs="Courier New"/>
          <w:sz w:val="22"/>
        </w:rPr>
      </w:r>
    </w:p>
    <w:p>
      <w:pPr>
        <w:pStyle w:val="Normal"/>
        <w:autoSpaceDE w:val="false"/>
        <w:rPr>
          <w:rFonts w:cs="Courier New"/>
          <w:sz w:val="22"/>
        </w:rPr>
      </w:pPr>
      <w:r>
        <w:rPr>
          <w:rFonts w:cs="Courier New"/>
          <w:sz w:val="22"/>
        </w:rPr>
        <w:t>Should you have any questions, please contact Margaret Daffin.</w:t>
      </w:r>
    </w:p>
    <w:p>
      <w:pPr>
        <w:pStyle w:val="Normal"/>
        <w:autoSpaceDE w:val="false"/>
        <w:rPr>
          <w:rFonts w:cs="Courier New"/>
          <w:sz w:val="22"/>
        </w:rPr>
      </w:pPr>
      <w:r>
        <w:rPr>
          <w:rFonts w:cs="Courier New"/>
          <w:sz w:val="22"/>
        </w:rPr>
      </w:r>
    </w:p>
    <w:p>
      <w:pPr>
        <w:pStyle w:val="Normal"/>
        <w:autoSpaceDE w:val="false"/>
        <w:rPr>
          <w:rFonts w:cs="Courier New"/>
          <w:sz w:val="22"/>
        </w:rPr>
      </w:pPr>
      <w:r>
        <w:rPr>
          <w:rFonts w:cs="Courier New"/>
          <w:sz w:val="22"/>
        </w:rPr>
      </w:r>
    </w:p>
    <w:p>
      <w:pPr>
        <w:pStyle w:val="Normal"/>
        <w:autoSpaceDE w:val="false"/>
        <w:rPr>
          <w:rFonts w:cs="Courier New"/>
          <w:sz w:val="22"/>
        </w:rPr>
      </w:pPr>
      <w:r>
        <w:rPr>
          <w:rFonts w:cs="Courier New"/>
          <w:sz w:val="22"/>
        </w:rPr>
        <w:t>Requested start date of H-1B______________________________________</w:t>
      </w:r>
    </w:p>
    <w:p>
      <w:pPr>
        <w:pStyle w:val="Normal"/>
        <w:autoSpaceDE w:val="false"/>
        <w:rPr>
          <w:rFonts w:cs="Courier New"/>
          <w:sz w:val="22"/>
        </w:rPr>
      </w:pPr>
      <w:r>
        <w:rPr>
          <w:rFonts w:cs="Courier New"/>
          <w:sz w:val="22"/>
        </w:rPr>
        <w:tab/>
        <w:tab/>
        <w:tab/>
        <w:tab/>
        <w:tab/>
        <w:t>Month/Day/Year</w:t>
      </w:r>
    </w:p>
    <w:p>
      <w:pPr>
        <w:pStyle w:val="Normal"/>
        <w:autoSpaceDE w:val="false"/>
        <w:rPr>
          <w:rFonts w:cs="Courier New"/>
          <w:sz w:val="22"/>
        </w:rPr>
      </w:pPr>
      <w:r>
        <w:rPr>
          <w:rFonts w:cs="Courier New"/>
          <w:sz w:val="22"/>
        </w:rPr>
      </w:r>
    </w:p>
    <w:p>
      <w:pPr>
        <w:pStyle w:val="Normal"/>
        <w:autoSpaceDE w:val="false"/>
        <w:rPr>
          <w:rFonts w:cs="Courier New"/>
          <w:sz w:val="22"/>
        </w:rPr>
      </w:pPr>
      <w:r>
        <w:rPr>
          <w:rFonts w:cs="Courier New"/>
          <w:sz w:val="22"/>
        </w:rPr>
        <w:t>Signature of F-1 Student__________________________________________</w:t>
      </w:r>
    </w:p>
    <w:p>
      <w:pPr>
        <w:pStyle w:val="Normal"/>
        <w:autoSpaceDE w:val="false"/>
        <w:rPr>
          <w:rFonts w:cs="Courier New"/>
          <w:sz w:val="22"/>
        </w:rPr>
      </w:pPr>
      <w:r>
        <w:rPr>
          <w:rFonts w:cs="Courier New"/>
          <w:sz w:val="22"/>
        </w:rPr>
      </w:r>
    </w:p>
    <w:p>
      <w:pPr>
        <w:pStyle w:val="Normal"/>
        <w:autoSpaceDE w:val="false"/>
        <w:rPr>
          <w:rFonts w:cs="Courier New"/>
          <w:sz w:val="22"/>
        </w:rPr>
      </w:pPr>
      <w:r>
        <w:rPr>
          <w:rFonts w:cs="Courier New"/>
          <w:sz w:val="22"/>
        </w:rPr>
        <w:t>Date__________________________________________________________</w:t>
      </w:r>
    </w:p>
    <w:p>
      <w:pPr>
        <w:pStyle w:val="Normal"/>
        <w:autoSpaceDE w:val="false"/>
        <w:rPr>
          <w:rFonts w:cs="Courier New"/>
          <w:sz w:val="22"/>
        </w:rPr>
      </w:pPr>
      <w:r>
        <w:rPr>
          <w:rFonts w:cs="Courier New"/>
          <w:sz w:val="22"/>
        </w:rPr>
      </w:r>
    </w:p>
    <w:p>
      <w:pPr>
        <w:pStyle w:val="Normal"/>
        <w:autoSpaceDE w:val="false"/>
        <w:rPr>
          <w:rFonts w:cs="Courier New"/>
          <w:sz w:val="22"/>
        </w:rPr>
      </w:pPr>
      <w:r>
        <w:rPr>
          <w:rFonts w:cs="Courier New"/>
          <w:sz w:val="22"/>
        </w:rPr>
        <w:t>Signature of Immediate Supervisor__________________________________</w:t>
      </w:r>
    </w:p>
    <w:p>
      <w:pPr>
        <w:pStyle w:val="Normal"/>
        <w:autoSpaceDE w:val="false"/>
        <w:rPr>
          <w:rFonts w:cs="Courier New"/>
          <w:sz w:val="22"/>
        </w:rPr>
      </w:pPr>
      <w:r>
        <w:rPr>
          <w:rFonts w:cs="Courier New"/>
          <w:sz w:val="22"/>
        </w:rPr>
      </w:r>
    </w:p>
    <w:p>
      <w:pPr>
        <w:pStyle w:val="Normal"/>
        <w:autoSpaceDE w:val="false"/>
        <w:rPr>
          <w:rFonts w:cs="Courier New"/>
          <w:sz w:val="22"/>
        </w:rPr>
      </w:pPr>
      <w:r>
        <w:rPr>
          <w:rFonts w:cs="Courier New"/>
          <w:sz w:val="22"/>
        </w:rPr>
        <w:t>Date__________________________________________________________</w:t>
      </w:r>
    </w:p>
    <w:p>
      <w:pPr>
        <w:pStyle w:val="Normal"/>
        <w:autoSpaceDE w:val="false"/>
        <w:rPr>
          <w:rFonts w:cs="Courier New"/>
          <w:sz w:val="22"/>
        </w:rPr>
      </w:pPr>
      <w:r>
        <w:rPr>
          <w:rFonts w:cs="Courier New"/>
          <w:sz w:val="22"/>
        </w:rPr>
      </w:r>
    </w:p>
    <w:p>
      <w:pPr>
        <w:pStyle w:val="Normal"/>
        <w:rPr>
          <w:rFonts w:cs="Courier New"/>
          <w:sz w:val="22"/>
        </w:rPr>
      </w:pPr>
      <w:r>
        <w:rPr>
          <w:rFonts w:cs="Courier New"/>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 Old Style">
    <w:altName w:val="Times New Roman"/>
    <w:charset w:val="00" w:characterSet="windows-1252"/>
    <w:family w:val="roman"/>
    <w:pitch w:val="variable"/>
  </w:font>
  <w:font w:name="GoudyOlSt BT">
    <w:altName w:val="Times New Roman"/>
    <w:charset w:val="00" w:characterSet="windows-1252"/>
    <w:family w:val="roman"/>
    <w:pitch w:val="variable"/>
  </w:font>
</w:fonts>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rFonts w:ascii="Arial" w:hAnsi="Arial" w:cs="Arial"/>
      <w:sz w:val="16"/>
    </w:rPr>
  </w:style>
  <w:style w:type="paragraph" w:styleId="BodyTextIndent">
    <w:name w:val="Body Text Indent"/>
    <w:basedOn w:val="Normal"/>
    <w:pPr>
      <w:autoSpaceDE w:val="false"/>
      <w:ind w:firstLine="720" w:start="0" w:end="0"/>
    </w:pPr>
    <w:rPr>
      <w:rFonts w:cs="Courier New"/>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Ltrhead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2001-11-15T19:50:00Z</dcterms:created>
  <dc:creator>agruber</dc:creator>
  <dc:description/>
  <dc:language>en-CA</dc:language>
  <cp:lastModifiedBy>agruber</cp:lastModifiedBy>
  <cp:lastPrinted>2001-11-14T11:19:00Z</cp:lastPrinted>
  <dcterms:modified xsi:type="dcterms:W3CDTF">2001-11-15T19:50:00Z</dcterms:modified>
  <cp:revision>2</cp:revision>
  <dc:subject/>
  <dc:title>TINDALL &amp; FOSTER, P</dc:title>
</cp:coreProperties>
</file>