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jc w:val="start"/>
        <w:outlineLvl w:val="0"/>
        <w:rPr>
          <w:b w:val="false"/>
          <w:u w:val="none"/>
        </w:rPr>
      </w:pPr>
      <w:r>
        <w:rPr>
          <w:b w:val="false"/>
          <w:u w:val="none"/>
        </w:rPr>
      </w:r>
    </w:p>
    <w:p>
      <w:pPr>
        <w:pStyle w:val="Heading"/>
        <w:numPr>
          <w:ilvl w:val="0"/>
          <w:numId w:val="0"/>
        </w:numPr>
        <w:jc w:val="start"/>
        <w:outlineLvl w:val="0"/>
        <w:rPr>
          <w:b w:val="false"/>
          <w:u w:val="none"/>
        </w:rPr>
      </w:pPr>
      <w:r>
        <w:rPr>
          <w:b w:val="false"/>
          <w:u w:val="none"/>
        </w:rPr>
      </w:r>
    </w:p>
    <w:p>
      <w:pPr>
        <w:pStyle w:val="Heading"/>
        <w:numPr>
          <w:ilvl w:val="0"/>
          <w:numId w:val="0"/>
        </w:numPr>
        <w:jc w:val="start"/>
        <w:outlineLvl w:val="0"/>
        <w:rPr>
          <w:u w:val="none"/>
        </w:rPr>
      </w:pPr>
      <w:r>
        <w:rPr>
          <w:u w:val="none"/>
        </w:rPr>
        <w:t>DRAFT – NOT A FINAL DOCUMENT</w:t>
      </w:r>
    </w:p>
    <w:p>
      <w:pPr>
        <w:pStyle w:val="Heading"/>
        <w:numPr>
          <w:ilvl w:val="0"/>
          <w:numId w:val="0"/>
        </w:numPr>
        <w:jc w:val="start"/>
        <w:outlineLvl w:val="0"/>
        <w:rPr>
          <w:u w:val="none"/>
        </w:rPr>
      </w:pPr>
      <w:r>
        <w:rPr>
          <w:u w:val="none"/>
        </w:rPr>
        <w:t>FOR DISCUSSION PURPOSES ONLY</w:t>
      </w:r>
    </w:p>
    <w:p>
      <w:pPr>
        <w:pStyle w:val="Heading"/>
        <w:numPr>
          <w:ilvl w:val="0"/>
          <w:numId w:val="0"/>
        </w:numPr>
        <w:jc w:val="start"/>
        <w:outlineLvl w:val="0"/>
        <w:rPr>
          <w:b w:val="false"/>
          <w:u w:val="none"/>
        </w:rPr>
      </w:pPr>
      <w:r>
        <w:rPr>
          <w:b w:val="false"/>
          <w:u w:val="none"/>
        </w:rPr>
      </w:r>
    </w:p>
    <w:p>
      <w:pPr>
        <w:pStyle w:val="Heading"/>
        <w:numPr>
          <w:ilvl w:val="0"/>
          <w:numId w:val="0"/>
        </w:numPr>
        <w:jc w:val="start"/>
        <w:outlineLvl w:val="0"/>
        <w:rPr>
          <w:b w:val="false"/>
          <w:u w:val="none"/>
        </w:rPr>
      </w:pPr>
      <w:r>
        <w:rPr>
          <w:b w:val="false"/>
          <w:u w:val="none"/>
        </w:rPr>
        <w:fldChar w:fldCharType="begin"/>
      </w:r>
      <w:r>
        <w:rPr>
          <w:u w:val="none"/>
          <w:b w:val="false"/>
        </w:rPr>
        <w:instrText xml:space="preserve"> DATE \@"MMMM\ d', 'yyyy" </w:instrText>
      </w:r>
      <w:r>
        <w:rPr>
          <w:u w:val="none"/>
          <w:b w:val="false"/>
        </w:rPr>
        <w:fldChar w:fldCharType="separate"/>
      </w:r>
      <w:r>
        <w:rPr>
          <w:u w:val="none"/>
          <w:b w:val="false"/>
        </w:rPr>
        <w:t>September 28, 2025</w:t>
      </w:r>
      <w:r>
        <w:rPr>
          <w:u w:val="none"/>
          <w:b w:val="false"/>
        </w:rPr>
        <w:fldChar w:fldCharType="end"/>
      </w:r>
    </w:p>
    <w:p>
      <w:pPr>
        <w:pStyle w:val="Heading"/>
        <w:numPr>
          <w:ilvl w:val="0"/>
          <w:numId w:val="0"/>
        </w:numPr>
        <w:jc w:val="start"/>
        <w:outlineLvl w:val="0"/>
        <w:rPr>
          <w:b w:val="false"/>
          <w:u w:val="none"/>
        </w:rPr>
      </w:pPr>
      <w:r>
        <w:rPr>
          <w:b w:val="false"/>
          <w:u w:val="none"/>
        </w:rPr>
      </w:r>
    </w:p>
    <w:p>
      <w:pPr>
        <w:pStyle w:val="Heading"/>
        <w:numPr>
          <w:ilvl w:val="0"/>
          <w:numId w:val="0"/>
        </w:numPr>
        <w:jc w:val="start"/>
        <w:outlineLvl w:val="0"/>
        <w:rPr>
          <w:b w:val="false"/>
          <w:u w:val="none"/>
        </w:rPr>
      </w:pPr>
      <w:r>
        <w:rPr>
          <w:b w:val="false"/>
          <w:u w:val="none"/>
        </w:rPr>
      </w:r>
    </w:p>
    <w:p>
      <w:pPr>
        <w:pStyle w:val="Heading"/>
        <w:numPr>
          <w:ilvl w:val="0"/>
          <w:numId w:val="0"/>
        </w:numPr>
        <w:jc w:val="start"/>
        <w:outlineLvl w:val="0"/>
        <w:rPr>
          <w:b w:val="false"/>
          <w:u w:val="none"/>
        </w:rPr>
      </w:pPr>
      <w:r>
        <w:rPr>
          <w:b w:val="false"/>
          <w:u w:val="none"/>
        </w:rPr>
        <w:t>Ed McMichael</w:t>
      </w:r>
    </w:p>
    <w:p>
      <w:pPr>
        <w:pStyle w:val="Heading"/>
        <w:numPr>
          <w:ilvl w:val="0"/>
          <w:numId w:val="0"/>
        </w:numPr>
        <w:jc w:val="start"/>
        <w:outlineLvl w:val="0"/>
        <w:rPr>
          <w:b w:val="false"/>
          <w:u w:val="none"/>
        </w:rPr>
      </w:pPr>
      <w:r>
        <w:rPr>
          <w:b w:val="false"/>
          <w:u w:val="none"/>
        </w:rPr>
        <w:t>Enron North America Corp.</w:t>
      </w:r>
    </w:p>
    <w:p>
      <w:pPr>
        <w:pStyle w:val="Heading"/>
        <w:numPr>
          <w:ilvl w:val="0"/>
          <w:numId w:val="0"/>
        </w:numPr>
        <w:jc w:val="start"/>
        <w:outlineLvl w:val="0"/>
        <w:rPr>
          <w:b w:val="false"/>
          <w:u w:val="none"/>
        </w:rPr>
      </w:pPr>
      <w:r>
        <w:rPr>
          <w:b w:val="false"/>
          <w:u w:val="none"/>
        </w:rPr>
        <w:t>1400 Smith</w:t>
      </w:r>
    </w:p>
    <w:p>
      <w:pPr>
        <w:pStyle w:val="Heading"/>
        <w:numPr>
          <w:ilvl w:val="0"/>
          <w:numId w:val="0"/>
        </w:numPr>
        <w:jc w:val="start"/>
        <w:outlineLvl w:val="0"/>
        <w:rPr>
          <w:b w:val="false"/>
          <w:u w:val="none"/>
        </w:rPr>
      </w:pPr>
      <w:r>
        <w:rPr>
          <w:b w:val="false"/>
          <w:u w:val="none"/>
        </w:rPr>
        <w:t>Houston, Texas  77002</w:t>
      </w:r>
    </w:p>
    <w:p>
      <w:pPr>
        <w:pStyle w:val="Heading"/>
        <w:numPr>
          <w:ilvl w:val="0"/>
          <w:numId w:val="0"/>
        </w:numPr>
        <w:jc w:val="start"/>
        <w:outlineLvl w:val="0"/>
        <w:rPr>
          <w:b w:val="false"/>
          <w:u w:val="none"/>
        </w:rPr>
      </w:pPr>
      <w:r>
        <w:rPr>
          <w:b w:val="false"/>
          <w:u w:val="none"/>
        </w:rPr>
      </w:r>
    </w:p>
    <w:p>
      <w:pPr>
        <w:pStyle w:val="Heading"/>
        <w:numPr>
          <w:ilvl w:val="0"/>
          <w:numId w:val="0"/>
        </w:numPr>
        <w:tabs>
          <w:tab w:val="clear" w:pos="720"/>
          <w:tab w:val="left" w:pos="1260" w:leader="none"/>
        </w:tabs>
        <w:ind w:hanging="540" w:start="1260" w:end="0"/>
        <w:jc w:val="start"/>
        <w:outlineLvl w:val="0"/>
        <w:rPr/>
      </w:pPr>
      <w:r>
        <w:rPr>
          <w:b w:val="false"/>
          <w:u w:val="none"/>
        </w:rPr>
        <w:t xml:space="preserve">RE: </w:t>
        <w:tab/>
        <w:t xml:space="preserve">Marketing of Enron Capacity by PG&amp;E Gas Transmission, Northwest </w:t>
      </w:r>
      <w:r>
        <w:rPr>
          <w:b w:val="false"/>
        </w:rPr>
        <w:t xml:space="preserve">Corporation                                                                                            </w:t>
      </w:r>
      <w:r>
        <w:rPr>
          <w:b w:val="false"/>
          <w:u w:val="none"/>
        </w:rPr>
        <w:t xml:space="preserve"> </w:t>
      </w:r>
      <w:r>
        <w:rPr>
          <w:b w:val="false"/>
          <w:color w:val="FFFFFF"/>
          <w:u w:val="none"/>
        </w:rPr>
        <w:t>.</w:t>
      </w:r>
    </w:p>
    <w:p>
      <w:pPr>
        <w:pStyle w:val="Heading"/>
        <w:numPr>
          <w:ilvl w:val="0"/>
          <w:numId w:val="0"/>
        </w:numPr>
        <w:jc w:val="start"/>
        <w:outlineLvl w:val="0"/>
        <w:rPr>
          <w:b w:val="false"/>
          <w:color w:val="FFFFFF"/>
          <w:u w:val="none"/>
        </w:rPr>
      </w:pPr>
      <w:r>
        <w:rPr>
          <w:b w:val="false"/>
          <w:color w:val="FFFFFF"/>
          <w:u w:val="none"/>
        </w:rPr>
      </w:r>
    </w:p>
    <w:p>
      <w:pPr>
        <w:pStyle w:val="Heading"/>
        <w:numPr>
          <w:ilvl w:val="0"/>
          <w:numId w:val="0"/>
        </w:numPr>
        <w:jc w:val="start"/>
        <w:outlineLvl w:val="0"/>
        <w:rPr>
          <w:b w:val="false"/>
          <w:u w:val="none"/>
        </w:rPr>
      </w:pPr>
      <w:r>
        <w:rPr>
          <w:b w:val="false"/>
          <w:u w:val="none"/>
        </w:rPr>
        <w:t>Dear Mr. McMichael:</w:t>
      </w:r>
    </w:p>
    <w:p>
      <w:pPr>
        <w:pStyle w:val="Heading"/>
        <w:numPr>
          <w:ilvl w:val="0"/>
          <w:numId w:val="0"/>
        </w:numPr>
        <w:jc w:val="start"/>
        <w:outlineLvl w:val="0"/>
        <w:rPr>
          <w:b w:val="false"/>
          <w:u w:val="none"/>
        </w:rPr>
      </w:pPr>
      <w:r>
        <w:rPr>
          <w:b w:val="false"/>
          <w:u w:val="none"/>
        </w:rPr>
      </w:r>
    </w:p>
    <w:p>
      <w:pPr>
        <w:pStyle w:val="Heading"/>
        <w:numPr>
          <w:ilvl w:val="0"/>
          <w:numId w:val="0"/>
        </w:numPr>
        <w:jc w:val="start"/>
        <w:outlineLvl w:val="0"/>
        <w:rPr>
          <w:b w:val="false"/>
          <w:u w:val="none"/>
        </w:rPr>
      </w:pPr>
      <w:r>
        <w:rPr>
          <w:b w:val="false"/>
          <w:u w:val="none"/>
        </w:rPr>
        <w:tab/>
        <w:t>This binding letter agreement (the “Agreement”) sets forth the terms under which PG&amp;E Gas Transmission, Northwest Corporation (“GTN”) and/or its affiliate entities and  Enron North America Corp. and/or affiliate entities (“Enron”) agree that GTN will market Enron’s capacity on GTN and pipelines upstream of GTN for capacity available between January 1, 2002 and March 31, 2002 (the “Marketing Term”).</w:t>
        <w:br/>
      </w:r>
    </w:p>
    <w:p>
      <w:pPr>
        <w:pStyle w:val="Normal"/>
        <w:numPr>
          <w:ilvl w:val="0"/>
          <w:numId w:val="2"/>
        </w:numPr>
        <w:rPr/>
      </w:pPr>
      <w:r>
        <w:rPr>
          <w:u w:val="single"/>
        </w:rPr>
        <w:t>Applicable GTN Capacity.</w:t>
      </w:r>
      <w:r>
        <w:rPr/>
        <w:t xml:space="preserve">   This Agreement applies to the following Firm Transportation Service Agreements between GTN and Enron (the “Enron Capacity”):</w:t>
      </w:r>
    </w:p>
    <w:p>
      <w:pPr>
        <w:pStyle w:val="Normal"/>
        <w:ind w:start="720" w:end="0"/>
        <w:rPr/>
      </w:pPr>
      <w:r>
        <w:rPr/>
      </w:r>
    </w:p>
    <w:tbl>
      <w:tblPr>
        <w:tblW w:w="8776" w:type="dxa"/>
        <w:jc w:val="start"/>
        <w:tblInd w:w="720" w:type="dxa"/>
        <w:tblLayout w:type="fixed"/>
        <w:tblCellMar>
          <w:top w:w="0" w:type="dxa"/>
          <w:start w:w="108" w:type="dxa"/>
          <w:bottom w:w="0" w:type="dxa"/>
          <w:end w:w="108" w:type="dxa"/>
        </w:tblCellMar>
      </w:tblPr>
      <w:tblGrid>
        <w:gridCol w:w="1368"/>
        <w:gridCol w:w="1189"/>
        <w:gridCol w:w="2051"/>
        <w:gridCol w:w="1980"/>
        <w:gridCol w:w="2188"/>
      </w:tblGrid>
      <w:tr>
        <w:trPr/>
        <w:tc>
          <w:tcPr>
            <w:tcW w:w="13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Contract No.</w:t>
            </w:r>
          </w:p>
        </w:tc>
        <w:tc>
          <w:tcPr>
            <w:tcW w:w="1189" w:type="dxa"/>
            <w:tcBorders>
              <w:top w:val="single" w:sz="4" w:space="0" w:color="000000"/>
              <w:start w:val="single" w:sz="4" w:space="0" w:color="000000"/>
              <w:bottom w:val="single" w:sz="4" w:space="0" w:color="000000"/>
              <w:end w:val="single" w:sz="4" w:space="0" w:color="000000"/>
            </w:tcBorders>
          </w:tcPr>
          <w:p>
            <w:pPr>
              <w:pStyle w:val="Normal"/>
              <w:rPr>
                <w:b/>
              </w:rPr>
            </w:pPr>
            <w:r>
              <w:rPr>
                <w:b/>
              </w:rPr>
              <w:t>Dth/day</w:t>
            </w:r>
          </w:p>
        </w:tc>
        <w:tc>
          <w:tcPr>
            <w:tcW w:w="2051" w:type="dxa"/>
            <w:tcBorders>
              <w:top w:val="single" w:sz="4" w:space="0" w:color="000000"/>
              <w:start w:val="single" w:sz="4" w:space="0" w:color="000000"/>
              <w:bottom w:val="single" w:sz="4" w:space="0" w:color="000000"/>
              <w:end w:val="single" w:sz="4" w:space="0" w:color="000000"/>
            </w:tcBorders>
          </w:tcPr>
          <w:p>
            <w:pPr>
              <w:pStyle w:val="Normal"/>
              <w:rPr>
                <w:b/>
              </w:rPr>
            </w:pPr>
            <w:r>
              <w:rPr>
                <w:b/>
              </w:rPr>
              <w:t>Primary Receipt Point</w:t>
            </w:r>
          </w:p>
        </w:tc>
        <w:tc>
          <w:tcPr>
            <w:tcW w:w="1980" w:type="dxa"/>
            <w:tcBorders>
              <w:top w:val="single" w:sz="4" w:space="0" w:color="000000"/>
              <w:start w:val="single" w:sz="4" w:space="0" w:color="000000"/>
              <w:bottom w:val="single" w:sz="4" w:space="0" w:color="000000"/>
              <w:end w:val="single" w:sz="4" w:space="0" w:color="000000"/>
            </w:tcBorders>
          </w:tcPr>
          <w:p>
            <w:pPr>
              <w:pStyle w:val="Normal"/>
              <w:rPr>
                <w:b/>
              </w:rPr>
            </w:pPr>
            <w:r>
              <w:rPr>
                <w:b/>
              </w:rPr>
              <w:t>Primary Delivery Point</w:t>
            </w:r>
          </w:p>
        </w:tc>
        <w:tc>
          <w:tcPr>
            <w:tcW w:w="2188" w:type="dxa"/>
            <w:tcBorders>
              <w:top w:val="single" w:sz="4" w:space="0" w:color="000000"/>
              <w:start w:val="single" w:sz="4" w:space="0" w:color="000000"/>
              <w:bottom w:val="single" w:sz="4" w:space="0" w:color="000000"/>
              <w:end w:val="single" w:sz="4" w:space="0" w:color="000000"/>
            </w:tcBorders>
          </w:tcPr>
          <w:p>
            <w:pPr>
              <w:pStyle w:val="Normal"/>
              <w:rPr>
                <w:b/>
              </w:rPr>
            </w:pPr>
            <w:r>
              <w:rPr>
                <w:b/>
              </w:rPr>
              <w:t>Termination Date</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jc w:val="center"/>
              <w:rPr/>
            </w:pPr>
            <w:r>
              <w:rPr/>
              <w:t>5290</w:t>
            </w:r>
          </w:p>
        </w:tc>
        <w:tc>
          <w:tcPr>
            <w:tcW w:w="1189" w:type="dxa"/>
            <w:tcBorders>
              <w:top w:val="single" w:sz="4" w:space="0" w:color="000000"/>
              <w:start w:val="single" w:sz="4" w:space="0" w:color="000000"/>
              <w:bottom w:val="single" w:sz="4" w:space="0" w:color="000000"/>
              <w:end w:val="single" w:sz="4" w:space="0" w:color="000000"/>
            </w:tcBorders>
          </w:tcPr>
          <w:p>
            <w:pPr>
              <w:pStyle w:val="Normal"/>
              <w:jc w:val="center"/>
              <w:rPr/>
            </w:pPr>
            <w:r>
              <w:rPr/>
              <w:t>52,500</w:t>
            </w:r>
          </w:p>
        </w:tc>
        <w:tc>
          <w:tcPr>
            <w:tcW w:w="2051" w:type="dxa"/>
            <w:tcBorders>
              <w:top w:val="single" w:sz="4" w:space="0" w:color="000000"/>
              <w:start w:val="single" w:sz="4" w:space="0" w:color="000000"/>
              <w:bottom w:val="single" w:sz="4" w:space="0" w:color="000000"/>
              <w:end w:val="single" w:sz="4" w:space="0" w:color="000000"/>
            </w:tcBorders>
          </w:tcPr>
          <w:p>
            <w:pPr>
              <w:pStyle w:val="Normal"/>
              <w:rPr/>
            </w:pPr>
            <w:r>
              <w:rPr/>
              <w:t>Kingsgate, B.C.</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Malin, Oregon</w:t>
            </w:r>
          </w:p>
        </w:tc>
        <w:tc>
          <w:tcPr>
            <w:tcW w:w="2188" w:type="dxa"/>
            <w:tcBorders>
              <w:top w:val="single" w:sz="4" w:space="0" w:color="000000"/>
              <w:start w:val="single" w:sz="4" w:space="0" w:color="000000"/>
              <w:bottom w:val="single" w:sz="4" w:space="0" w:color="000000"/>
              <w:end w:val="single" w:sz="4" w:space="0" w:color="000000"/>
            </w:tcBorders>
          </w:tcPr>
          <w:p>
            <w:pPr>
              <w:pStyle w:val="Normal"/>
              <w:rPr/>
            </w:pPr>
            <w:r>
              <w:rPr/>
              <w:t>October 31, 2008</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jc w:val="center"/>
              <w:rPr/>
            </w:pPr>
            <w:r>
              <w:rPr/>
              <w:t>6557</w:t>
            </w:r>
          </w:p>
        </w:tc>
        <w:tc>
          <w:tcPr>
            <w:tcW w:w="1189" w:type="dxa"/>
            <w:tcBorders>
              <w:top w:val="single" w:sz="4" w:space="0" w:color="000000"/>
              <w:start w:val="single" w:sz="4" w:space="0" w:color="000000"/>
              <w:bottom w:val="single" w:sz="4" w:space="0" w:color="000000"/>
              <w:end w:val="single" w:sz="4" w:space="0" w:color="000000"/>
            </w:tcBorders>
          </w:tcPr>
          <w:p>
            <w:pPr>
              <w:pStyle w:val="Normal"/>
              <w:jc w:val="center"/>
              <w:rPr/>
            </w:pPr>
            <w:r>
              <w:rPr/>
              <w:t>10,000</w:t>
            </w:r>
          </w:p>
        </w:tc>
        <w:tc>
          <w:tcPr>
            <w:tcW w:w="2051" w:type="dxa"/>
            <w:tcBorders>
              <w:top w:val="single" w:sz="4" w:space="0" w:color="000000"/>
              <w:start w:val="single" w:sz="4" w:space="0" w:color="000000"/>
              <w:bottom w:val="single" w:sz="4" w:space="0" w:color="000000"/>
              <w:end w:val="single" w:sz="4" w:space="0" w:color="000000"/>
            </w:tcBorders>
          </w:tcPr>
          <w:p>
            <w:pPr>
              <w:pStyle w:val="Normal"/>
              <w:rPr/>
            </w:pPr>
            <w:r>
              <w:rPr/>
              <w:t>Kingsgate, B.C.</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Malin, Oregon</w:t>
            </w:r>
          </w:p>
        </w:tc>
        <w:tc>
          <w:tcPr>
            <w:tcW w:w="2188" w:type="dxa"/>
            <w:tcBorders>
              <w:top w:val="single" w:sz="4" w:space="0" w:color="000000"/>
              <w:start w:val="single" w:sz="4" w:space="0" w:color="000000"/>
              <w:bottom w:val="single" w:sz="4" w:space="0" w:color="000000"/>
              <w:end w:val="single" w:sz="4" w:space="0" w:color="000000"/>
            </w:tcBorders>
          </w:tcPr>
          <w:p>
            <w:pPr>
              <w:pStyle w:val="Normal"/>
              <w:rPr/>
            </w:pPr>
            <w:r>
              <w:rPr/>
              <w:t>October 31, 2005</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jc w:val="center"/>
              <w:rPr/>
            </w:pPr>
            <w:r>
              <w:rPr/>
              <w:t>7360</w:t>
            </w:r>
          </w:p>
        </w:tc>
        <w:tc>
          <w:tcPr>
            <w:tcW w:w="1189" w:type="dxa"/>
            <w:tcBorders>
              <w:top w:val="single" w:sz="4" w:space="0" w:color="000000"/>
              <w:start w:val="single" w:sz="4" w:space="0" w:color="000000"/>
              <w:bottom w:val="single" w:sz="4" w:space="0" w:color="000000"/>
              <w:end w:val="single" w:sz="4" w:space="0" w:color="000000"/>
            </w:tcBorders>
          </w:tcPr>
          <w:p>
            <w:pPr>
              <w:pStyle w:val="Normal"/>
              <w:jc w:val="center"/>
              <w:rPr/>
            </w:pPr>
            <w:r>
              <w:rPr/>
              <w:t>10,099</w:t>
            </w:r>
          </w:p>
        </w:tc>
        <w:tc>
          <w:tcPr>
            <w:tcW w:w="2051" w:type="dxa"/>
            <w:tcBorders>
              <w:top w:val="single" w:sz="4" w:space="0" w:color="000000"/>
              <w:start w:val="single" w:sz="4" w:space="0" w:color="000000"/>
              <w:bottom w:val="single" w:sz="4" w:space="0" w:color="000000"/>
              <w:end w:val="single" w:sz="4" w:space="0" w:color="000000"/>
            </w:tcBorders>
          </w:tcPr>
          <w:p>
            <w:pPr>
              <w:pStyle w:val="Normal"/>
              <w:rPr/>
            </w:pPr>
            <w:r>
              <w:rPr/>
              <w:t>Kingsgate, B.C.</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Malin, Oregon</w:t>
            </w:r>
          </w:p>
        </w:tc>
        <w:tc>
          <w:tcPr>
            <w:tcW w:w="2188" w:type="dxa"/>
            <w:tcBorders>
              <w:top w:val="single" w:sz="4" w:space="0" w:color="000000"/>
              <w:start w:val="single" w:sz="4" w:space="0" w:color="000000"/>
              <w:bottom w:val="single" w:sz="4" w:space="0" w:color="000000"/>
              <w:end w:val="single" w:sz="4" w:space="0" w:color="000000"/>
            </w:tcBorders>
          </w:tcPr>
          <w:p>
            <w:pPr>
              <w:pStyle w:val="Normal"/>
              <w:rPr/>
            </w:pPr>
            <w:r>
              <w:rPr/>
              <w:t>October 31, 2002</w:t>
            </w:r>
          </w:p>
        </w:tc>
      </w:tr>
    </w:tbl>
    <w:p>
      <w:pPr>
        <w:pStyle w:val="Normal"/>
        <w:ind w:start="720" w:end="0"/>
        <w:rPr/>
      </w:pPr>
      <w:r>
        <w:rPr/>
      </w:r>
    </w:p>
    <w:p>
      <w:pPr>
        <w:pStyle w:val="Normal"/>
        <w:numPr>
          <w:ilvl w:val="0"/>
          <w:numId w:val="2"/>
        </w:numPr>
        <w:rPr/>
      </w:pPr>
      <w:r>
        <w:rPr>
          <w:u w:val="single"/>
        </w:rPr>
        <w:t>Applicable Upstream Enron Capacity</w:t>
      </w:r>
      <w:r>
        <w:rPr/>
        <w:t>. This Agreement also applies to the following Transportation Service Agreements between Enron Canada and TransCanada PipeLines (the “Upstream Enron Capacity”):</w:t>
      </w:r>
    </w:p>
    <w:p>
      <w:pPr>
        <w:pStyle w:val="Normal"/>
        <w:rPr/>
      </w:pPr>
      <w:r>
        <w:rPr/>
      </w:r>
    </w:p>
    <w:p>
      <w:pPr>
        <w:pStyle w:val="Normal"/>
        <w:ind w:start="720" w:end="0"/>
        <w:jc w:val="center"/>
        <w:rPr>
          <w:b/>
        </w:rPr>
      </w:pPr>
      <w:r>
        <w:rPr>
          <w:b/>
        </w:rPr>
        <w:t>[INSERT TABLE]</w:t>
      </w:r>
    </w:p>
    <w:p>
      <w:pPr>
        <w:pStyle w:val="Normal"/>
        <w:ind w:start="720" w:end="0"/>
        <w:rPr>
          <w:b/>
        </w:rPr>
      </w:pPr>
      <w:r>
        <w:rPr>
          <w:b/>
        </w:rPr>
      </w:r>
    </w:p>
    <w:p>
      <w:pPr>
        <w:pStyle w:val="Normal"/>
        <w:numPr>
          <w:ilvl w:val="0"/>
          <w:numId w:val="2"/>
        </w:numPr>
        <w:tabs>
          <w:tab w:val="clear" w:pos="720"/>
          <w:tab w:val="left" w:pos="1530" w:leader="none"/>
        </w:tabs>
        <w:rPr/>
      </w:pPr>
      <w:r>
        <w:rPr>
          <w:u w:val="single"/>
        </w:rPr>
        <w:t>Marketing of Enron Capacity and Upstream Enron Capacity.</w:t>
      </w:r>
      <w:r>
        <w:rPr/>
        <w:t xml:space="preserve">  GTN and Enron agree that GTN shall exclusively market the Enron Capacity and Upstream Enron Capacity for the Marketing Term through short term firm open season(s), and, if necessary, through individual negotiations after the close of such open season(s).  GTN shall be authorized to sell the Enron Capacity directly to third parties, at such rate determined by GTN in its sole discretion.  GTN shall be authorized to negotiate terms of sale of Upstream Enron Capacity between Enron and third parties, and Enron agrees to release the Upstream Enron Capacity directly to such third parties as directed by GTN.  GTN makes no representations or warranties as to its ability to sell such capacity, nor shall GTN be under any obligation to enter into any transactions for the sale of such capacity. </w:t>
        <w:br/>
      </w:r>
    </w:p>
    <w:p>
      <w:pPr>
        <w:pStyle w:val="Normal"/>
        <w:numPr>
          <w:ilvl w:val="0"/>
          <w:numId w:val="2"/>
        </w:numPr>
        <w:rPr/>
      </w:pPr>
      <w:r>
        <w:rPr>
          <w:u w:val="single"/>
        </w:rPr>
        <w:t>Crediting of Revenue</w:t>
      </w:r>
      <w:r>
        <w:rPr/>
        <w:t xml:space="preserve">.  Any revenues received by GTN for Enron Capacity marketed by GTN pursuant to Paragraph 3 above shall be reflected as a credit on Enron’s invoice for service in the applicable month. </w:t>
        <w:br/>
      </w:r>
    </w:p>
    <w:p>
      <w:pPr>
        <w:pStyle w:val="Normal"/>
        <w:numPr>
          <w:ilvl w:val="0"/>
          <w:numId w:val="2"/>
        </w:numPr>
        <w:rPr/>
      </w:pPr>
      <w:r>
        <w:rPr>
          <w:u w:val="single"/>
        </w:rPr>
        <w:t>No Utilization by Enron</w:t>
      </w:r>
      <w:r>
        <w:rPr/>
        <w:t>.  Enron agrees not to nominate or release the Enron Capacity or Enron Upstream Capacity for the Marketing Term without the express written consent of GTN.</w:t>
        <w:br/>
      </w:r>
    </w:p>
    <w:p>
      <w:pPr>
        <w:pStyle w:val="Normal"/>
        <w:numPr>
          <w:ilvl w:val="0"/>
          <w:numId w:val="2"/>
        </w:numPr>
        <w:rPr/>
      </w:pPr>
      <w:r>
        <w:rPr>
          <w:u w:val="single"/>
        </w:rPr>
        <w:t>Sale of Other Capacity</w:t>
      </w:r>
      <w:r>
        <w:rPr/>
        <w:t xml:space="preserve">.  Nothing in this Agreement shall be deemed to limit GTN’s ability to market and sell other capacity on its system.  Such capacity may be sold before, during or after the sale of the Enron Capacity. </w:t>
        <w:br/>
      </w:r>
    </w:p>
    <w:p>
      <w:pPr>
        <w:pStyle w:val="BodyTextIndent"/>
        <w:numPr>
          <w:ilvl w:val="0"/>
          <w:numId w:val="2"/>
        </w:numPr>
        <w:rPr/>
      </w:pPr>
      <w:r>
        <w:rPr>
          <w:u w:val="single"/>
        </w:rPr>
        <w:t>Effectiveness, Interpretation, Modification, Authority</w:t>
      </w:r>
      <w:r>
        <w:rPr/>
        <w:t>.</w:t>
      </w:r>
    </w:p>
    <w:p>
      <w:pPr>
        <w:pStyle w:val="BodyTextIndent"/>
        <w:ind w:firstLine="300" w:start="0" w:end="0"/>
        <w:rPr/>
      </w:pPr>
      <w:r>
        <w:rPr/>
      </w:r>
    </w:p>
    <w:p>
      <w:pPr>
        <w:pStyle w:val="Normal"/>
        <w:ind w:start="1440" w:end="0"/>
        <w:rPr/>
      </w:pPr>
      <w:r>
        <w:rPr/>
        <w:t>7.1  This Agreement shall be effective as of the date of execution by all Parties.</w:t>
        <w:br/>
        <w:t xml:space="preserve"> </w:t>
      </w:r>
    </w:p>
    <w:p>
      <w:pPr>
        <w:pStyle w:val="BodyTextIndent2"/>
        <w:rPr/>
      </w:pPr>
      <w:r>
        <w:rPr/>
        <w:t>7.2  This Agreement shall be interpreted and performed in accordance with the laws of the State of California without recourse to the law governing conflict of laws.</w:t>
        <w:br/>
      </w:r>
    </w:p>
    <w:p>
      <w:pPr>
        <w:pStyle w:val="BodyTextIndent2"/>
        <w:rPr/>
      </w:pPr>
      <w:r>
        <w:rPr/>
        <w:t>7.3  No modification of or amendment to this Agreement shall be valid or binding unless in writing and signed by the authorized representatives of all parties.</w:t>
        <w:br/>
      </w:r>
    </w:p>
    <w:p>
      <w:pPr>
        <w:pStyle w:val="BodyTextIndent2"/>
        <w:rPr/>
      </w:pPr>
      <w:r>
        <w:rPr/>
        <w:t xml:space="preserve">7.4  Each party to this Agreement warrants that it has all necessary authorization to enter into this Agreement. </w:t>
        <w:br/>
      </w:r>
    </w:p>
    <w:p>
      <w:pPr>
        <w:pStyle w:val="BodyTextIndent2"/>
        <w:numPr>
          <w:ilvl w:val="0"/>
          <w:numId w:val="2"/>
        </w:numPr>
        <w:rPr/>
      </w:pPr>
      <w:r>
        <w:rPr>
          <w:u w:val="single"/>
        </w:rPr>
        <w:t>Without Prejudice.</w:t>
      </w:r>
      <w:r>
        <w:rPr/>
        <w:t xml:space="preserve">  The Parties agree that this Agreement will not prejudice or limit GTN’s rights under law or equity, including rights GTN may have to terminate the contracts underlying the Enron Capacity; rights with respect to 11 U.S.C. § 365, or rights to seek recovery for damages GTN has because of Enron’s bankruptcy.</w:t>
      </w:r>
    </w:p>
    <w:p>
      <w:pPr>
        <w:pStyle w:val="BodyTextIndent2"/>
        <w:rPr>
          <w:u w:val="single"/>
        </w:rPr>
      </w:pPr>
      <w:r>
        <w:rPr>
          <w:u w:val="single"/>
        </w:rPr>
      </w:r>
    </w:p>
    <w:p>
      <w:pPr>
        <w:pStyle w:val="BodyTextIndent2"/>
        <w:numPr>
          <w:ilvl w:val="0"/>
          <w:numId w:val="2"/>
        </w:numPr>
        <w:rPr/>
      </w:pPr>
      <w:r>
        <w:rPr>
          <w:u w:val="single"/>
        </w:rPr>
        <w:t>Termination</w:t>
      </w:r>
      <w:r>
        <w:rPr/>
        <w:t xml:space="preserve">.  This Agreement shall terminate the earlier of (1) the date on which all firm transportation service agreements underlying the Enron Capacity have been terminated or (2) March 31, 2002.  If by February 15, 2002, the Parties have mutually agreed to extend this Agreement, it may be extended by written agreement. </w:t>
        <w:br/>
      </w:r>
    </w:p>
    <w:p>
      <w:pPr>
        <w:pStyle w:val="BodyTextIndent2"/>
        <w:numPr>
          <w:ilvl w:val="0"/>
          <w:numId w:val="2"/>
        </w:numPr>
        <w:rPr/>
      </w:pPr>
      <w:r>
        <w:rPr>
          <w:u w:val="single"/>
        </w:rPr>
        <w:t>Expiration</w:t>
      </w:r>
      <w:r>
        <w:rPr/>
        <w:t xml:space="preserve">.  This Agreement shall be null and void if not executed by both GTN and Enron by 5:00 P.M. Pacific Time on Wednesday, December 19, 2001.  </w:t>
      </w:r>
    </w:p>
    <w:p>
      <w:pPr>
        <w:pStyle w:val="BodyTextIndent2"/>
        <w:ind w:hanging="720" w:end="0"/>
        <w:rPr/>
      </w:pPr>
      <w:r>
        <w:rPr/>
      </w:r>
    </w:p>
    <w:p>
      <w:pPr>
        <w:pStyle w:val="BodyTextIndent2"/>
        <w:ind w:hanging="720" w:end="0"/>
        <w:rPr/>
      </w:pPr>
      <w:r>
        <w:rPr/>
        <w:t>11.</w:t>
        <w:tab/>
      </w:r>
      <w:r>
        <w:rPr>
          <w:u w:val="single"/>
        </w:rPr>
        <w:t>Counterparts</w:t>
      </w:r>
      <w:r>
        <w:rPr/>
        <w:t>.  This Agreement may be executed in counterparts.</w:t>
        <w:br/>
      </w:r>
    </w:p>
    <w:p>
      <w:pPr>
        <w:pStyle w:val="BodyTextIndent"/>
        <w:keepNext w:val="true"/>
        <w:ind w:start="0" w:end="0"/>
        <w:rPr/>
      </w:pPr>
      <w:r>
        <w:rPr/>
        <w:t>Please acknowledge your assent to the terms of this Agreement by executing the document below and returning it to me.</w:t>
      </w:r>
    </w:p>
    <w:p>
      <w:pPr>
        <w:pStyle w:val="BodyTextIndent"/>
        <w:keepNext w:val="true"/>
        <w:ind w:start="0" w:end="0"/>
        <w:rPr/>
      </w:pPr>
      <w:r>
        <w:rPr/>
      </w:r>
    </w:p>
    <w:p>
      <w:pPr>
        <w:pStyle w:val="BodyTextIndent"/>
        <w:keepNext w:val="true"/>
        <w:ind w:start="0" w:end="0"/>
        <w:rPr/>
      </w:pPr>
      <w:r>
        <w:rPr/>
        <w:t>Very truly yours,</w:t>
      </w:r>
    </w:p>
    <w:p>
      <w:pPr>
        <w:pStyle w:val="BodyTextIndent"/>
        <w:keepNext w:val="true"/>
        <w:ind w:start="0" w:end="0"/>
        <w:rPr/>
      </w:pPr>
      <w:r>
        <w:rPr/>
      </w:r>
    </w:p>
    <w:p>
      <w:pPr>
        <w:pStyle w:val="BodyTextIndent"/>
        <w:ind w:start="0" w:end="0"/>
        <w:rPr/>
      </w:pPr>
      <w:r>
        <w:rPr/>
      </w:r>
    </w:p>
    <w:p>
      <w:pPr>
        <w:pStyle w:val="BodyTextIndent"/>
        <w:ind w:start="0" w:end="0"/>
        <w:rPr/>
      </w:pPr>
      <w:r>
        <w:rPr/>
      </w:r>
    </w:p>
    <w:p>
      <w:pPr>
        <w:pStyle w:val="BodyTextIndent"/>
        <w:ind w:start="0" w:end="0"/>
        <w:rPr/>
      </w:pPr>
      <w:r>
        <w:rPr/>
        <w:t>Peter G. Lund</w:t>
      </w:r>
    </w:p>
    <w:p>
      <w:pPr>
        <w:pStyle w:val="BodyTextIndent"/>
        <w:ind w:start="0" w:end="0"/>
        <w:rPr/>
      </w:pPr>
      <w:r>
        <w:rPr/>
        <w:t>Vice President</w:t>
      </w:r>
    </w:p>
    <w:p>
      <w:pPr>
        <w:pStyle w:val="BodyTextIndent"/>
        <w:ind w:start="0" w:end="0"/>
        <w:rPr/>
      </w:pPr>
      <w:r>
        <w:rPr/>
        <w:t xml:space="preserve">PG&amp;E Gas Transmission, Northwest Corporation </w:t>
      </w:r>
    </w:p>
    <w:p>
      <w:pPr>
        <w:pStyle w:val="BodyTextIndent"/>
        <w:ind w:start="0" w:end="0"/>
        <w:rPr/>
      </w:pPr>
      <w:r>
        <w:rPr/>
      </w:r>
    </w:p>
    <w:p>
      <w:pPr>
        <w:pStyle w:val="BodyTextIndent"/>
        <w:ind w:start="0" w:end="0"/>
        <w:rPr/>
      </w:pPr>
      <w:r>
        <w:rPr/>
        <w:t>Attachments</w:t>
      </w:r>
    </w:p>
    <w:p>
      <w:pPr>
        <w:pStyle w:val="BodyTextIndent"/>
        <w:ind w:start="0" w:end="0"/>
        <w:rPr/>
      </w:pPr>
      <w:r>
        <w:rPr/>
      </w:r>
    </w:p>
    <w:p>
      <w:pPr>
        <w:pStyle w:val="BodyTextIndent"/>
        <w:ind w:start="0" w:end="0"/>
        <w:rPr/>
      </w:pPr>
      <w:r>
        <w:rPr/>
      </w:r>
    </w:p>
    <w:p>
      <w:pPr>
        <w:pStyle w:val="BodyTextIndent"/>
        <w:ind w:start="0" w:end="0"/>
        <w:rPr/>
      </w:pPr>
      <w:r>
        <w:rPr/>
        <w:t>ACKNOWLEDGED AND AGREED TO:</w:t>
      </w:r>
    </w:p>
    <w:p>
      <w:pPr>
        <w:pStyle w:val="BodyTextIndent"/>
        <w:ind w:start="0" w:end="0"/>
        <w:rPr/>
      </w:pPr>
      <w:r>
        <w:rPr/>
      </w:r>
    </w:p>
    <w:p>
      <w:pPr>
        <w:pStyle w:val="Heading"/>
        <w:numPr>
          <w:ilvl w:val="0"/>
          <w:numId w:val="0"/>
        </w:numPr>
        <w:jc w:val="start"/>
        <w:outlineLvl w:val="0"/>
        <w:rPr>
          <w:b w:val="false"/>
          <w:u w:val="none"/>
        </w:rPr>
      </w:pPr>
      <w:r>
        <w:rPr>
          <w:b w:val="false"/>
          <w:u w:val="none"/>
        </w:rPr>
        <w:t>ENRON NORTH AMERICA CORP.</w:t>
      </w:r>
    </w:p>
    <w:p>
      <w:pPr>
        <w:pStyle w:val="Heading"/>
        <w:numPr>
          <w:ilvl w:val="0"/>
          <w:numId w:val="0"/>
        </w:numPr>
        <w:jc w:val="start"/>
        <w:outlineLvl w:val="0"/>
        <w:rPr>
          <w:b w:val="false"/>
          <w:u w:val="none"/>
        </w:rPr>
      </w:pPr>
      <w:r>
        <w:rPr>
          <w:b w:val="false"/>
          <w:u w:val="none"/>
        </w:rPr>
      </w:r>
    </w:p>
    <w:p>
      <w:pPr>
        <w:pStyle w:val="Heading"/>
        <w:numPr>
          <w:ilvl w:val="0"/>
          <w:numId w:val="0"/>
        </w:numPr>
        <w:jc w:val="start"/>
        <w:outlineLvl w:val="0"/>
        <w:rPr>
          <w:b w:val="false"/>
          <w:u w:val="none"/>
        </w:rPr>
      </w:pPr>
      <w:r>
        <w:rPr>
          <w:b w:val="false"/>
          <w:u w:val="none"/>
        </w:rPr>
      </w:r>
    </w:p>
    <w:p>
      <w:pPr>
        <w:pStyle w:val="Heading"/>
        <w:numPr>
          <w:ilvl w:val="0"/>
          <w:numId w:val="0"/>
        </w:numPr>
        <w:jc w:val="start"/>
        <w:outlineLvl w:val="0"/>
        <w:rPr>
          <w:b w:val="false"/>
          <w:u w:val="none"/>
        </w:rPr>
      </w:pPr>
      <w:r>
        <w:rPr>
          <w:b w:val="false"/>
          <w:u w:val="none"/>
        </w:rPr>
        <w:t>By: ___________________________________________</w:t>
      </w:r>
    </w:p>
    <w:p>
      <w:pPr>
        <w:pStyle w:val="Heading"/>
        <w:numPr>
          <w:ilvl w:val="0"/>
          <w:numId w:val="0"/>
        </w:numPr>
        <w:jc w:val="start"/>
        <w:outlineLvl w:val="0"/>
        <w:rPr>
          <w:b w:val="false"/>
          <w:u w:val="none"/>
        </w:rPr>
      </w:pPr>
      <w:r>
        <w:rPr>
          <w:b w:val="false"/>
          <w:u w:val="none"/>
        </w:rPr>
      </w:r>
    </w:p>
    <w:p>
      <w:pPr>
        <w:pStyle w:val="Heading"/>
        <w:numPr>
          <w:ilvl w:val="0"/>
          <w:numId w:val="0"/>
        </w:numPr>
        <w:jc w:val="start"/>
        <w:outlineLvl w:val="0"/>
        <w:rPr>
          <w:b w:val="false"/>
          <w:u w:val="none"/>
        </w:rPr>
      </w:pPr>
      <w:r>
        <w:rPr>
          <w:b w:val="false"/>
          <w:u w:val="none"/>
        </w:rPr>
        <w:t>Print Name: ____________________________________</w:t>
      </w:r>
    </w:p>
    <w:p>
      <w:pPr>
        <w:pStyle w:val="Heading"/>
        <w:numPr>
          <w:ilvl w:val="0"/>
          <w:numId w:val="0"/>
        </w:numPr>
        <w:jc w:val="start"/>
        <w:outlineLvl w:val="0"/>
        <w:rPr>
          <w:b w:val="false"/>
          <w:u w:val="none"/>
        </w:rPr>
      </w:pPr>
      <w:r>
        <w:rPr>
          <w:b w:val="false"/>
          <w:u w:val="none"/>
        </w:rPr>
      </w:r>
    </w:p>
    <w:p>
      <w:pPr>
        <w:pStyle w:val="Heading"/>
        <w:numPr>
          <w:ilvl w:val="0"/>
          <w:numId w:val="0"/>
        </w:numPr>
        <w:jc w:val="start"/>
        <w:outlineLvl w:val="0"/>
        <w:rPr>
          <w:b w:val="false"/>
          <w:u w:val="none"/>
        </w:rPr>
      </w:pPr>
      <w:r>
        <w:rPr>
          <w:b w:val="false"/>
          <w:u w:val="none"/>
        </w:rPr>
        <w:t>Title: __________________________________________</w:t>
      </w:r>
    </w:p>
    <w:p>
      <w:pPr>
        <w:pStyle w:val="Heading"/>
        <w:numPr>
          <w:ilvl w:val="0"/>
          <w:numId w:val="0"/>
        </w:numPr>
        <w:jc w:val="start"/>
        <w:outlineLvl w:val="0"/>
        <w:rPr>
          <w:b w:val="false"/>
          <w:u w:val="none"/>
        </w:rPr>
      </w:pPr>
      <w:r>
        <w:rPr>
          <w:b w:val="false"/>
          <w:u w:val="none"/>
        </w:rPr>
      </w:r>
    </w:p>
    <w:p>
      <w:pPr>
        <w:pStyle w:val="Heading"/>
        <w:numPr>
          <w:ilvl w:val="0"/>
          <w:numId w:val="0"/>
        </w:numPr>
        <w:jc w:val="start"/>
        <w:outlineLvl w:val="0"/>
        <w:rPr>
          <w:b w:val="false"/>
          <w:u w:val="none"/>
        </w:rPr>
      </w:pPr>
      <w:r>
        <w:rPr>
          <w:b w:val="false"/>
          <w:u w:val="none"/>
        </w:rPr>
        <w:t>Dated:  December ___, 2001</w:t>
      </w:r>
    </w:p>
    <w:p>
      <w:pPr>
        <w:pStyle w:val="BodyTextIndent"/>
        <w:ind w:start="0" w:end="0"/>
        <w:rPr>
          <w:b/>
          <w:sz w:val="16"/>
          <w:u w:val="none"/>
        </w:rPr>
      </w:pPr>
      <w:r>
        <w:rPr>
          <w:b/>
          <w:sz w:val="16"/>
          <w:u w:val="none"/>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6030" w:end="0"/>
      <w:rPr/>
    </w:pPr>
    <w:r>
      <w:rPr/>
    </w:r>
  </w:p>
  <w:p>
    <w:pPr>
      <w:pStyle w:val="Header"/>
      <w:ind w:start="6030" w:end="0"/>
      <w:rPr/>
    </w:pPr>
    <w:r>
      <w:rPr/>
    </w:r>
  </w:p>
  <w:p>
    <w:pPr>
      <w:pStyle w:val="Header"/>
      <w:ind w:start="5760" w:end="0"/>
      <w:rPr/>
    </w:pPr>
    <w:r>
      <w:rPr/>
      <w:t>Mr. Ed McMichael</w:t>
    </w:r>
  </w:p>
  <w:p>
    <w:pPr>
      <w:pStyle w:val="Header"/>
      <w:ind w:start="5760" w:end="0"/>
      <w:rPr/>
    </w:pPr>
    <w:r>
      <w:rPr/>
      <w:t>Enron North America Corp.</w:t>
    </w:r>
  </w:p>
  <w:p>
    <w:pPr>
      <w:pStyle w:val="Header"/>
      <w:ind w:start="5760" w:end="0"/>
      <w:rPr/>
    </w:pPr>
    <w:r>
      <w:rPr/>
      <w:fldChar w:fldCharType="begin"/>
    </w:r>
    <w:r>
      <w:rPr/>
      <w:instrText xml:space="preserve"> DATE \@"MMMM\ d', 'yyyy" </w:instrText>
    </w:r>
    <w:r>
      <w:rPr/>
      <w:fldChar w:fldCharType="separate"/>
    </w:r>
    <w:r>
      <w:rPr/>
      <w:t>September 28, 2025</w:t>
    </w:r>
    <w:r>
      <w:rPr/>
      <w:fldChar w:fldCharType="end"/>
    </w:r>
  </w:p>
  <w:p>
    <w:pPr>
      <w:pStyle w:val="Header"/>
      <w:ind w:start="5760" w:end="0"/>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ind w:start="6030" w:end="0"/>
      <w:rPr/>
    </w:pPr>
    <w:r>
      <w:rPr/>
    </w:r>
  </w:p>
  <w:p>
    <w:pPr>
      <w:pStyle w:val="Header"/>
      <w:ind w:start="6030" w:end="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lvl w:ilvl="1">
      <w:start w:val="1"/>
      <w:isLgl/>
      <w:numFmt w:val="decimal"/>
      <w:lvlText w:val="%1.%2"/>
      <w:lvlJc w:val="start"/>
      <w:pPr>
        <w:tabs>
          <w:tab w:val="num" w:pos="1800"/>
        </w:tabs>
        <w:ind w:start="1800" w:hanging="360"/>
      </w:pPr>
      <w:rPr/>
    </w:lvl>
    <w:lvl w:ilvl="2">
      <w:start w:val="1"/>
      <w:isLgl/>
      <w:numFmt w:val="decimal"/>
      <w:lvlText w:val="%1.%2.%3"/>
      <w:lvlJc w:val="start"/>
      <w:pPr>
        <w:tabs>
          <w:tab w:val="num" w:pos="2880"/>
        </w:tabs>
        <w:ind w:start="2880" w:hanging="720"/>
      </w:pPr>
      <w:rPr/>
    </w:lvl>
    <w:lvl w:ilvl="3">
      <w:start w:val="1"/>
      <w:isLgl/>
      <w:numFmt w:val="decimal"/>
      <w:lvlText w:val="%1.%2.%3.%4"/>
      <w:lvlJc w:val="start"/>
      <w:pPr>
        <w:tabs>
          <w:tab w:val="num" w:pos="3600"/>
        </w:tabs>
        <w:ind w:start="3600" w:hanging="720"/>
      </w:pPr>
      <w:rPr/>
    </w:lvl>
    <w:lvl w:ilvl="4">
      <w:start w:val="1"/>
      <w:isLgl/>
      <w:numFmt w:val="decimal"/>
      <w:lvlText w:val="%1.%2.%3.%4.%5"/>
      <w:lvlJc w:val="start"/>
      <w:pPr>
        <w:tabs>
          <w:tab w:val="num" w:pos="4680"/>
        </w:tabs>
        <w:ind w:start="4680" w:hanging="1080"/>
      </w:pPr>
      <w:rPr/>
    </w:lvl>
    <w:lvl w:ilvl="5">
      <w:start w:val="1"/>
      <w:isLgl/>
      <w:numFmt w:val="decimal"/>
      <w:lvlText w:val="%1.%2.%3.%4.%5.%6"/>
      <w:lvlJc w:val="start"/>
      <w:pPr>
        <w:tabs>
          <w:tab w:val="num" w:pos="5400"/>
        </w:tabs>
        <w:ind w:start="5400" w:hanging="1080"/>
      </w:pPr>
      <w:rPr/>
    </w:lvl>
    <w:lvl w:ilvl="6">
      <w:start w:val="1"/>
      <w:isLgl/>
      <w:numFmt w:val="decimal"/>
      <w:lvlText w:val="%1.%2.%3.%4.%5.%6.%7"/>
      <w:lvlJc w:val="start"/>
      <w:pPr>
        <w:tabs>
          <w:tab w:val="num" w:pos="6480"/>
        </w:tabs>
        <w:ind w:start="6480" w:hanging="1440"/>
      </w:pPr>
      <w:rPr/>
    </w:lvl>
    <w:lvl w:ilvl="7">
      <w:start w:val="1"/>
      <w:isLgl/>
      <w:numFmt w:val="decimal"/>
      <w:lvlText w:val="%1.%2.%3.%4.%5.%6.%7.%8"/>
      <w:lvlJc w:val="start"/>
      <w:pPr>
        <w:tabs>
          <w:tab w:val="num" w:pos="7200"/>
        </w:tabs>
        <w:ind w:start="7200" w:hanging="1440"/>
      </w:pPr>
      <w:rPr/>
    </w:lvl>
    <w:lvl w:ilvl="8">
      <w:start w:val="1"/>
      <w:isLgl/>
      <w:numFmt w:val="decimal"/>
      <w:lvlText w:val="%1.%2.%3.%4.%5.%6.%7.%8.%9"/>
      <w:lvlJc w:val="start"/>
      <w:pPr>
        <w:tabs>
          <w:tab w:val="num" w:pos="8280"/>
        </w:tabs>
        <w:ind w:start="8280" w:hanging="180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360" w:before="0" w:after="120"/>
      <w:ind w:firstLine="1354" w:start="864"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80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2001-12-17T16:19:00Z</dcterms:created>
  <dc:creator>CAR173</dc:creator>
  <dc:description/>
  <dc:language>en-CA</dc:language>
  <cp:lastModifiedBy>Carl Fink</cp:lastModifiedBy>
  <cp:lastPrinted>2001-12-14T13:03:00Z</cp:lastPrinted>
  <dcterms:modified xsi:type="dcterms:W3CDTF">2001-12-17T16:22:00Z</dcterms:modified>
  <cp:revision>3</cp:revision>
  <dc:subject/>
  <dc:title>Southern Company/Pan-Alberta/GTN Capacity Acquisition Proposal</dc:title>
</cp:coreProperties>
</file>