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Garamond" w:hAnsi="Garamond" w:cs="Garamond"/>
          <w:b/>
          <w:sz w:val="26"/>
        </w:rPr>
      </w:pPr>
      <w:r>
        <w:rPr>
          <w:rFonts w:cs="Garamond" w:ascii="Garamond" w:hAnsi="Garamond"/>
          <w:b/>
          <w:sz w:val="26"/>
        </w:rPr>
        <w:t>DRAFT</w:t>
      </w:r>
    </w:p>
    <w:p>
      <w:pPr>
        <w:pStyle w:val="Normal"/>
        <w:jc w:val="end"/>
        <w:rPr>
          <w:rFonts w:ascii="Garamond" w:hAnsi="Garamond" w:cs="Garamond"/>
          <w:sz w:val="26"/>
        </w:rPr>
      </w:pPr>
      <w:r>
        <w:rPr>
          <w:rFonts w:cs="Garamond" w:ascii="Garamond" w:hAnsi="Garamond"/>
          <w:sz w:val="26"/>
        </w:rPr>
        <w:t>(May 26, 2000)</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sz w:val="26"/>
        </w:rPr>
      </w:pPr>
      <w:r>
        <w:rPr>
          <w:rFonts w:cs="Garamond" w:ascii="Garamond" w:hAnsi="Garamond"/>
          <w:sz w:val="26"/>
        </w:rPr>
        <w:t>Dear Sirs,</w:t>
      </w:r>
    </w:p>
    <w:p>
      <w:pPr>
        <w:pStyle w:val="Normal"/>
        <w:jc w:val="both"/>
        <w:rPr>
          <w:rFonts w:ascii="Garamond" w:hAnsi="Garamond" w:cs="Garamond"/>
          <w:sz w:val="26"/>
        </w:rPr>
      </w:pPr>
      <w:r>
        <w:rPr>
          <w:rFonts w:cs="Garamond" w:ascii="Garamond" w:hAnsi="Garamond"/>
          <w:sz w:val="26"/>
        </w:rPr>
      </w:r>
    </w:p>
    <w:p>
      <w:pPr>
        <w:pStyle w:val="Normal"/>
        <w:jc w:val="both"/>
        <w:rPr/>
      </w:pPr>
      <w:r>
        <w:rPr>
          <w:rFonts w:cs="Garamond" w:ascii="Garamond" w:hAnsi="Garamond"/>
          <w:sz w:val="26"/>
        </w:rPr>
        <w:t>We make reference to the Memorandum to Local Counsel and our subsequent conversations on Enron’s proposed Internet Trading project in Brazil. Please find below preliminary answers to your questionnaire.</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sz w:val="26"/>
        </w:rPr>
      </w:pPr>
      <w:r>
        <w:rPr>
          <w:rFonts w:cs="Garamond" w:ascii="Garamond" w:hAnsi="Garamond"/>
          <w:sz w:val="26"/>
        </w:rPr>
        <w:t>Trading through the Internet is generally not regulated in Brazil. A few bills of law have been introduced in the Brazilian Congress dealing with specific issues of e-commerce such as validity of contracts and certification of digital signature. Ou</w:t>
      </w:r>
      <w:r>
        <w:rPr>
          <w:rFonts w:cs="Garamond" w:ascii="Garamond" w:hAnsi="Garamond"/>
          <w:sz w:val="26"/>
        </w:rPr>
        <w:t xml:space="preserve">r answers </w:t>
      </w:r>
      <w:r>
        <w:rPr>
          <w:rFonts w:cs="Garamond" w:ascii="Garamond" w:hAnsi="Garamond"/>
          <w:sz w:val="26"/>
        </w:rPr>
        <w:t xml:space="preserve">are mainly </w:t>
      </w:r>
      <w:r>
        <w:rPr>
          <w:rFonts w:cs="Garamond" w:ascii="Garamond" w:hAnsi="Garamond"/>
          <w:sz w:val="26"/>
        </w:rPr>
        <w:t xml:space="preserve">based </w:t>
      </w:r>
      <w:r>
        <w:rPr>
          <w:rFonts w:cs="Garamond" w:ascii="Garamond" w:hAnsi="Garamond"/>
          <w:sz w:val="26"/>
        </w:rPr>
        <w:t xml:space="preserve">on the Brazilian Civil, Commercial and Civil Procedure Codes, unless specific rules apply. Needless to say, such Codes were adopted either in 1800’s or in the first half of the century and therefore did not anticipate technological developments, least of all the Internet. </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sz w:val="26"/>
        </w:rPr>
      </w:pPr>
      <w:r>
        <w:rPr>
          <w:rFonts w:cs="Garamond" w:ascii="Garamond" w:hAnsi="Garamond"/>
          <w:sz w:val="26"/>
        </w:rPr>
      </w:r>
    </w:p>
    <w:p>
      <w:pPr>
        <w:pStyle w:val="Heading1"/>
        <w:ind w:hanging="0" w:start="0"/>
        <w:jc w:val="both"/>
        <w:rPr>
          <w:rFonts w:ascii="Garamond" w:hAnsi="Garamond" w:cs="Garamond"/>
          <w:sz w:val="26"/>
        </w:rPr>
      </w:pPr>
      <w:r>
        <w:rPr>
          <w:rFonts w:cs="Garamond" w:ascii="Garamond" w:hAnsi="Garamond"/>
          <w:sz w:val="26"/>
        </w:rPr>
        <w:t>Questionnaire</w:t>
      </w:r>
    </w:p>
    <w:p>
      <w:pPr>
        <w:pStyle w:val="Normal"/>
        <w:tabs>
          <w:tab w:val="clear" w:pos="720"/>
          <w:tab w:val="left" w:pos="0" w:leader="none"/>
        </w:tabs>
        <w:jc w:val="both"/>
        <w:rPr>
          <w:rFonts w:ascii="Garamond" w:hAnsi="Garamond" w:cs="Garamond"/>
          <w:b/>
          <w:sz w:val="26"/>
        </w:rPr>
      </w:pPr>
      <w:r>
        <w:rPr>
          <w:rFonts w:cs="Garamond" w:ascii="Garamond" w:hAnsi="Garamond"/>
          <w:b/>
          <w:sz w:val="26"/>
        </w:rPr>
      </w:r>
    </w:p>
    <w:p>
      <w:pPr>
        <w:pStyle w:val="Normal"/>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Choice of law</w:t>
      </w:r>
    </w:p>
    <w:p>
      <w:pPr>
        <w:pStyle w:val="Normal"/>
        <w:tabs>
          <w:tab w:val="clear" w:pos="720"/>
          <w:tab w:val="left" w:pos="0" w:leader="none"/>
        </w:tabs>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t>Generally, the terms and conditions of the Access Agreements and GTC's will be governed by New York law. There may be exceptions to this where existing terms and conditions are governed by a different law. Are there any overriding laws in your jurisdiction, which would impose a different governing law? If not, can we generally assume that New York law will govern enforcement and formation of these contracts and any trades in your jurisdiction?</w:t>
      </w:r>
    </w:p>
    <w:p>
      <w:pPr>
        <w:pStyle w:val="BodyTextIndent"/>
        <w:tabs>
          <w:tab w:val="clear" w:pos="720"/>
          <w:tab w:val="left" w:pos="0" w:leader="none"/>
        </w:tabs>
        <w:jc w:val="both"/>
        <w:rPr>
          <w:rFonts w:ascii="Garamond" w:hAnsi="Garamond" w:cs="Garamond"/>
          <w:b/>
          <w:sz w:val="26"/>
        </w:rPr>
      </w:pPr>
      <w:r>
        <w:rPr>
          <w:rFonts w:cs="Garamond" w:ascii="Garamond" w:hAnsi="Garamond"/>
          <w:b/>
          <w:sz w:val="26"/>
        </w:rPr>
      </w:r>
    </w:p>
    <w:p>
      <w:pPr>
        <w:pStyle w:val="Normal"/>
        <w:ind w:start="709" w:end="0"/>
        <w:jc w:val="both"/>
        <w:rPr>
          <w:rFonts w:ascii="Garamond" w:hAnsi="Garamond" w:cs="Garamond"/>
          <w:sz w:val="26"/>
          <w:lang w:eastAsia="pt-BR"/>
        </w:rPr>
      </w:pPr>
      <w:r>
        <w:rPr>
          <w:rFonts w:cs="Garamond" w:ascii="Garamond" w:hAnsi="Garamond"/>
          <w:sz w:val="26"/>
          <w:lang w:eastAsia="pt-BR"/>
        </w:rPr>
      </w:r>
    </w:p>
    <w:p>
      <w:pPr>
        <w:pStyle w:val="Normal"/>
        <w:ind w:start="709" w:end="0"/>
        <w:jc w:val="both"/>
        <w:rPr>
          <w:rFonts w:ascii="Garamond" w:hAnsi="Garamond" w:cs="Garamond"/>
          <w:sz w:val="26"/>
          <w:lang w:eastAsia="pt-BR"/>
        </w:rPr>
      </w:pPr>
      <w:r>
        <w:rPr>
          <w:rFonts w:cs="Garamond" w:ascii="Garamond" w:hAnsi="Garamond"/>
          <w:sz w:val="26"/>
          <w:lang w:eastAsia="pt-BR"/>
        </w:rPr>
        <w:t xml:space="preserve">The choice of a foreign law is valid and binding when contracted between a foreign and Brazilian parties. The courts of Brazil should give effect to such choice of law provision. We believe the parties’ freedom to choose the governing law should prevail over the rule that the law of residence of the offeror must apply. In this regard, it may advisable to insert in the agreements a statement whereby the parties acknowledge that the Brazilian party is not the offeror. This may, however, have an impact on other sections of this questionnaire where Enron prefers not to be considered as the offering party. </w:t>
      </w:r>
    </w:p>
    <w:p>
      <w:pPr>
        <w:pStyle w:val="Normal"/>
        <w:ind w:start="709" w:end="0"/>
        <w:jc w:val="both"/>
        <w:rPr>
          <w:rFonts w:ascii="Garamond" w:hAnsi="Garamond" w:cs="Garamond"/>
          <w:sz w:val="26"/>
          <w:lang w:eastAsia="pt-BR"/>
        </w:rPr>
      </w:pPr>
      <w:r>
        <w:rPr>
          <w:rFonts w:cs="Garamond" w:ascii="Garamond" w:hAnsi="Garamond"/>
          <w:sz w:val="26"/>
          <w:lang w:eastAsia="pt-BR"/>
        </w:rPr>
      </w:r>
    </w:p>
    <w:p>
      <w:pPr>
        <w:pStyle w:val="Normal"/>
        <w:ind w:start="709" w:end="0"/>
        <w:jc w:val="both"/>
        <w:rPr>
          <w:rFonts w:ascii="Garamond" w:hAnsi="Garamond" w:cs="Garamond"/>
          <w:sz w:val="24"/>
          <w:lang w:eastAsia="pt-BR"/>
        </w:rPr>
      </w:pPr>
      <w:r>
        <w:rPr>
          <w:rFonts w:cs="Garamond" w:ascii="Garamond" w:hAnsi="Garamond"/>
          <w:sz w:val="26"/>
        </w:rPr>
        <w:t>A judgment obtained in a foreign court against a Brazilian entity must be confirmed by the Brazilian Federal Supreme Court before it is enforced in Brazil. In order to be confirmed by the Brazilian Supreme Court, such foreign judgment must meet the following conditions: (a) it must comply with all formalities required for its enforceability under the laws of the country where it was issued; (b) it must have been given by a competent court after the proper service of process on the parties; (c) it must not be subject to appeal; (d) it must not offend Brazilian national sovereignty, public policy or good morals; and (e) it must be duly authenticated by a competent Brazilian consulate and be accompanied by a sworn translation thereof into Portuguese. The judgment will be expressed in the Brazilian currency equivalent to the foreign currency amount of such sum at the commercial exchange rate of the date at which such judgment is obtained, and such Brazilian currency amount will be corrected in accordance with the exchange variation until the judgment holder receives effective payment.</w:t>
      </w:r>
    </w:p>
    <w:p>
      <w:pPr>
        <w:pStyle w:val="Normal"/>
        <w:ind w:start="709" w:end="0"/>
        <w:jc w:val="both"/>
        <w:rPr>
          <w:rFonts w:ascii="Garamond" w:hAnsi="Garamond" w:cs="Garamond"/>
          <w:sz w:val="24"/>
          <w:lang w:eastAsia="pt-BR"/>
        </w:rPr>
      </w:pPr>
      <w:r>
        <w:rPr>
          <w:rFonts w:cs="Garamond" w:ascii="Garamond" w:hAnsi="Garamond"/>
          <w:sz w:val="24"/>
          <w:lang w:eastAsia="pt-BR"/>
        </w:rPr>
      </w:r>
    </w:p>
    <w:p>
      <w:pPr>
        <w:pStyle w:val="Normal"/>
        <w:ind w:start="709" w:end="0"/>
        <w:jc w:val="both"/>
        <w:rPr>
          <w:rFonts w:ascii="Garamond" w:hAnsi="Garamond" w:cs="Garamond"/>
          <w:sz w:val="26"/>
          <w:lang w:eastAsia="pt-BR"/>
        </w:rPr>
      </w:pPr>
      <w:r>
        <w:rPr>
          <w:rFonts w:cs="Garamond" w:ascii="Garamond" w:hAnsi="Garamond"/>
          <w:sz w:val="26"/>
          <w:lang w:eastAsia="pt-BR"/>
        </w:rPr>
        <w:t xml:space="preserve">Although the question posed does not touch upon the choice of jurisdiction provision, we make the comments below. </w:t>
      </w:r>
    </w:p>
    <w:p>
      <w:pPr>
        <w:pStyle w:val="Normal"/>
        <w:ind w:start="709" w:end="0"/>
        <w:jc w:val="both"/>
        <w:rPr>
          <w:rFonts w:ascii="Garamond" w:hAnsi="Garamond" w:cs="Garamond"/>
          <w:sz w:val="26"/>
          <w:lang w:eastAsia="pt-BR"/>
        </w:rPr>
      </w:pPr>
      <w:r>
        <w:rPr>
          <w:rFonts w:cs="Garamond" w:ascii="Garamond" w:hAnsi="Garamond"/>
          <w:sz w:val="26"/>
          <w:lang w:eastAsia="pt-BR"/>
        </w:rPr>
      </w:r>
    </w:p>
    <w:p>
      <w:pPr>
        <w:pStyle w:val="Normal"/>
        <w:ind w:start="709" w:end="0"/>
        <w:jc w:val="both"/>
        <w:rPr>
          <w:rFonts w:ascii="Garamond" w:hAnsi="Garamond" w:cs="Garamond"/>
          <w:sz w:val="26"/>
          <w:lang w:eastAsia="pt-BR"/>
        </w:rPr>
      </w:pPr>
      <w:r>
        <w:rPr>
          <w:rFonts w:cs="Garamond" w:ascii="Garamond" w:hAnsi="Garamond"/>
          <w:sz w:val="26"/>
          <w:lang w:eastAsia="pt-BR"/>
        </w:rPr>
        <w:t>In principle the provisions electing jurisdiction and governing law are valid in Brazil. However, it should be mentioned that there are certain Brazilian regulations which may override such provisions in certain cases.</w:t>
      </w:r>
    </w:p>
    <w:p>
      <w:pPr>
        <w:pStyle w:val="Normal"/>
        <w:ind w:start="709" w:end="0"/>
        <w:jc w:val="both"/>
        <w:rPr>
          <w:rFonts w:ascii="Garamond" w:hAnsi="Garamond" w:cs="Garamond"/>
          <w:sz w:val="26"/>
          <w:lang w:eastAsia="pt-BR"/>
        </w:rPr>
      </w:pPr>
      <w:r>
        <w:rPr>
          <w:rFonts w:cs="Garamond" w:ascii="Garamond" w:hAnsi="Garamond"/>
          <w:sz w:val="26"/>
          <w:lang w:eastAsia="pt-BR"/>
        </w:rPr>
      </w:r>
    </w:p>
    <w:p>
      <w:pPr>
        <w:pStyle w:val="Normal"/>
        <w:ind w:start="709" w:end="0"/>
        <w:jc w:val="both"/>
        <w:rPr>
          <w:rFonts w:ascii="Garamond" w:hAnsi="Garamond" w:cs="Garamond"/>
          <w:sz w:val="26"/>
        </w:rPr>
      </w:pPr>
      <w:r>
        <w:rPr>
          <w:rFonts w:cs="Garamond" w:ascii="Garamond" w:hAnsi="Garamond"/>
          <w:sz w:val="26"/>
        </w:rPr>
        <w:t>Brazilian courts have jurisdiction over cases brought before them when (i) the defendant is domiciled in Brazil, irrespective of his or her nationality; (ii) the agreement will be performed in Brazil; (iii) the lawsuit refers to an act or fact occurred in Brazil.</w:t>
      </w:r>
    </w:p>
    <w:p>
      <w:pPr>
        <w:pStyle w:val="Normal"/>
        <w:ind w:start="709" w:end="0"/>
        <w:jc w:val="both"/>
        <w:rPr>
          <w:rFonts w:ascii="Garamond" w:hAnsi="Garamond" w:cs="Garamond"/>
          <w:sz w:val="26"/>
          <w:lang w:eastAsia="pt-BR"/>
        </w:rPr>
      </w:pPr>
      <w:r>
        <w:rPr>
          <w:rFonts w:cs="Garamond" w:ascii="Garamond" w:hAnsi="Garamond"/>
          <w:sz w:val="26"/>
          <w:lang w:eastAsia="pt-BR"/>
        </w:rPr>
      </w:r>
    </w:p>
    <w:p>
      <w:pPr>
        <w:pStyle w:val="Normal"/>
        <w:tabs>
          <w:tab w:val="clear" w:pos="720"/>
          <w:tab w:val="left" w:pos="0" w:leader="none"/>
        </w:tabs>
        <w:ind w:start="709" w:end="0"/>
        <w:jc w:val="both"/>
        <w:rPr>
          <w:rFonts w:ascii="Garamond" w:hAnsi="Garamond" w:cs="Garamond"/>
          <w:sz w:val="26"/>
        </w:rPr>
      </w:pPr>
      <w:r>
        <w:rPr>
          <w:rFonts w:cs="Garamond" w:ascii="Garamond" w:hAnsi="Garamond"/>
          <w:sz w:val="26"/>
          <w:lang w:eastAsia="pt-BR"/>
        </w:rPr>
        <w:t xml:space="preserve">The Brazilian Federal Constitution </w:t>
      </w:r>
      <w:r>
        <w:rPr>
          <w:rFonts w:cs="Garamond" w:ascii="Garamond" w:hAnsi="Garamond"/>
          <w:sz w:val="26"/>
          <w:lang w:eastAsia="pt-BR"/>
        </w:rPr>
        <w:t xml:space="preserve">accords Brazilian citizens the right to bring suit before a court of law. This right may not be waived. </w:t>
      </w:r>
      <w:r>
        <w:rPr>
          <w:rFonts w:cs="Garamond" w:ascii="Garamond" w:hAnsi="Garamond"/>
          <w:sz w:val="26"/>
        </w:rPr>
        <w:t>Accordingly, if a claim is filed in Brazil, the Brazilian judge may apply Brazilian law if application of other law would violate the public order. As a practical matter, a Brazilian judge will never be able to conduct a judgement in accordance with foreign law and, therefore, Brazilian law has always been applied in these situations.</w:t>
      </w:r>
    </w:p>
    <w:p>
      <w:pPr>
        <w:pStyle w:val="Normal"/>
        <w:ind w:start="709" w:end="0"/>
        <w:jc w:val="both"/>
        <w:rPr>
          <w:rFonts w:ascii="Garamond" w:hAnsi="Garamond" w:cs="Garamond"/>
          <w:sz w:val="26"/>
          <w:lang w:eastAsia="pt-BR"/>
        </w:rPr>
      </w:pPr>
      <w:r>
        <w:rPr>
          <w:rFonts w:cs="Garamond" w:ascii="Garamond" w:hAnsi="Garamond"/>
          <w:sz w:val="26"/>
          <w:lang w:eastAsia="pt-BR"/>
        </w:rPr>
      </w:r>
    </w:p>
    <w:p>
      <w:pPr>
        <w:pStyle w:val="Normal"/>
        <w:ind w:start="709" w:end="0"/>
        <w:jc w:val="both"/>
        <w:rPr>
          <w:rFonts w:ascii="Garamond" w:hAnsi="Garamond" w:cs="Garamond"/>
          <w:sz w:val="26"/>
          <w:lang w:eastAsia="pt-BR"/>
        </w:rPr>
      </w:pPr>
      <w:r>
        <w:rPr>
          <w:rFonts w:cs="Garamond" w:ascii="Garamond" w:hAnsi="Garamond"/>
          <w:sz w:val="26"/>
          <w:lang w:eastAsia="pt-BR"/>
        </w:rPr>
        <w:t xml:space="preserve">The Brazilian Consumer Protection Code stipulates that the jurisdiction of the consumer will control in case of disputes. It establishes that any suit related to a provider’s civil liability must be brought in the consumer’s domicile, even if otherwise agreed by the parties. The issue whether Enron’s counterparty is deemed a consumer under Brazilian law is discussed in item 2.2.c below. </w:t>
      </w:r>
    </w:p>
    <w:p>
      <w:pPr>
        <w:pStyle w:val="Normal"/>
        <w:ind w:start="709" w:end="0"/>
        <w:jc w:val="both"/>
        <w:rPr>
          <w:rFonts w:ascii="Garamond" w:hAnsi="Garamond" w:cs="Garamond"/>
          <w:sz w:val="26"/>
          <w:lang w:eastAsia="pt-BR"/>
        </w:rPr>
      </w:pPr>
      <w:r>
        <w:rPr>
          <w:rFonts w:cs="Garamond" w:ascii="Garamond" w:hAnsi="Garamond"/>
          <w:sz w:val="26"/>
          <w:lang w:eastAsia="pt-BR"/>
        </w:rPr>
      </w:r>
    </w:p>
    <w:p>
      <w:pPr>
        <w:pStyle w:val="Normal"/>
        <w:ind w:start="709" w:end="0"/>
        <w:jc w:val="both"/>
        <w:rPr/>
      </w:pPr>
      <w:r>
        <w:rPr>
          <w:rFonts w:cs="Garamond" w:ascii="Garamond" w:hAnsi="Garamond"/>
          <w:sz w:val="26"/>
        </w:rPr>
        <w:t xml:space="preserve">Therefore, although election of jurisdiction provisions are valid, the </w:t>
      </w:r>
      <w:r>
        <w:rPr>
          <w:rFonts w:cs="Garamond" w:ascii="Garamond" w:hAnsi="Garamond"/>
          <w:sz w:val="26"/>
          <w:lang w:eastAsia="pt-BR"/>
        </w:rPr>
        <w:t>election of a foreign jurisdiction to resolve disputes arising out of the agreements or the transactions carried out through the Enron website does not prevent the Brazilian counterparty's right from filing a suit in Brazil and the ability of the Brazilian judge to accept the claim.</w:t>
      </w:r>
    </w:p>
    <w:p>
      <w:pPr>
        <w:pStyle w:val="Normal"/>
        <w:ind w:start="709" w:end="0"/>
        <w:jc w:val="both"/>
        <w:rPr>
          <w:rFonts w:ascii="Garamond" w:hAnsi="Garamond" w:cs="Garamond"/>
          <w:sz w:val="26"/>
          <w:lang w:eastAsia="pt-BR"/>
        </w:rPr>
      </w:pPr>
      <w:r>
        <w:rPr>
          <w:rFonts w:cs="Garamond" w:ascii="Garamond" w:hAnsi="Garamond"/>
          <w:sz w:val="26"/>
          <w:lang w:eastAsia="pt-BR"/>
        </w:rPr>
      </w:r>
    </w:p>
    <w:p>
      <w:pPr>
        <w:pStyle w:val="BodyTextIndent"/>
        <w:tabs>
          <w:tab w:val="clear" w:pos="720"/>
          <w:tab w:val="left" w:pos="0" w:leader="none"/>
        </w:tabs>
        <w:ind w:start="709"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Contract Formation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Please review the contract formation structure proposed above and comment on any laws in your jurisdiction, which may impact on contract formation and enforceability.</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The Brazilian Civil Code does not set forth any special procedure to be adopted by the parties when expressing there will to enter into an agreement. The contract is valid if the parties are legally capable to contract, the object is lawful and there is no special form required or prohibited by law (e.g. purchase and sale of real estate must be made by means of a public written deed).  Accordingly, an electronic document executed trough a “click” or “password” creates a binding agreement between the counterparty and Enron.</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 xml:space="preserve">We understand that the counterparty is required to enter the password only once, when accessing the website. We suggest Enron to require the customer to enter the password also when placing an order by clicking on the “send” or “confirm”. This would give more substance to the argument that the counterparty is delivering or sending a duly signed document, which may constitute an offer as described in question 2.5. below </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 xml:space="preserve">In this regard, the draft regulations on e-commerce currently underway on the Brazilian Congress generally deem to be valid as an original document the electronic documents signed through a private key (asymmetric cryptography method). Therefore, even though the password is not a private key for certification and cryptography purposes, we believe that the use of the password on different moments of the transaction would reinforce Enron’s argument in favor of the validity of the transaction.  </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Please review the draft agreements and comment 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numPr>
          <w:ilvl w:val="0"/>
          <w:numId w:val="2"/>
        </w:numPr>
        <w:tabs>
          <w:tab w:val="clear" w:pos="720"/>
          <w:tab w:val="left" w:pos="0" w:leader="none"/>
        </w:tabs>
        <w:ind w:hanging="0" w:start="0" w:end="0"/>
        <w:jc w:val="both"/>
        <w:rPr>
          <w:rFonts w:ascii="Garamond" w:hAnsi="Garamond" w:cs="Garamond"/>
          <w:b/>
          <w:sz w:val="26"/>
        </w:rPr>
      </w:pPr>
      <w:r>
        <w:rPr>
          <w:rFonts w:cs="Garamond" w:ascii="Garamond" w:hAnsi="Garamond"/>
          <w:b/>
          <w:sz w:val="26"/>
        </w:rPr>
        <w:t>any areas that are unenforceable in your jurisdiction: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Normal"/>
        <w:ind w:start="720" w:end="0"/>
        <w:jc w:val="both"/>
        <w:rPr>
          <w:rFonts w:ascii="Garamond" w:hAnsi="Garamond" w:cs="Garamond"/>
          <w:sz w:val="26"/>
        </w:rPr>
      </w:pPr>
      <w:r>
        <w:rPr>
          <w:rFonts w:cs="Garamond" w:ascii="Garamond" w:hAnsi="Garamond"/>
          <w:sz w:val="26"/>
        </w:rPr>
        <w:t>The absence of witnesses to an electronic transaction hurts the ability of either party to bring a lawsuit whereby the agreement would be “executed” (</w:t>
      </w:r>
      <w:r>
        <w:rPr>
          <w:rFonts w:cs="Garamond" w:ascii="Garamond" w:hAnsi="Garamond"/>
          <w:i/>
          <w:sz w:val="26"/>
        </w:rPr>
        <w:t>ação de execução</w:t>
      </w:r>
      <w:r>
        <w:rPr>
          <w:rFonts w:cs="Garamond" w:ascii="Garamond" w:hAnsi="Garamond"/>
          <w:sz w:val="26"/>
        </w:rPr>
        <w:t>). In theory, this type of lawsuit should be more expeditious, although this has not translated into the reality of our court system. Please bear in mind that this does not mean that the agreement is unenforceable. In case of breach, the breach and the damages award would be determined in a different type of lawsuit (</w:t>
      </w:r>
      <w:r>
        <w:rPr>
          <w:rFonts w:cs="Garamond" w:ascii="Garamond" w:hAnsi="Garamond"/>
          <w:i/>
          <w:sz w:val="26"/>
        </w:rPr>
        <w:t>ação de conhecimento</w:t>
      </w:r>
      <w:r>
        <w:rPr>
          <w:rFonts w:cs="Garamond" w:ascii="Garamond" w:hAnsi="Garamond"/>
          <w:sz w:val="26"/>
        </w:rPr>
        <w:t xml:space="preserve">).  The award itself would then be subject to the </w:t>
      </w:r>
      <w:r>
        <w:rPr>
          <w:rFonts w:cs="Garamond" w:ascii="Garamond" w:hAnsi="Garamond"/>
          <w:i/>
          <w:sz w:val="26"/>
        </w:rPr>
        <w:t>ação de execução</w:t>
      </w:r>
      <w:r>
        <w:rPr>
          <w:rFonts w:cs="Garamond" w:ascii="Garamond" w:hAnsi="Garamond"/>
          <w:sz w:val="26"/>
        </w:rPr>
        <w:t xml:space="preserve">. </w:t>
      </w:r>
    </w:p>
    <w:p>
      <w:pPr>
        <w:pStyle w:val="Normal"/>
        <w:ind w:start="720" w:end="0"/>
        <w:jc w:val="both"/>
        <w:rPr>
          <w:rFonts w:ascii="Garamond" w:hAnsi="Garamond" w:cs="Garamond"/>
          <w:sz w:val="26"/>
        </w:rPr>
      </w:pPr>
      <w:r>
        <w:rPr>
          <w:rFonts w:eastAsia="Garamond" w:cs="Garamond" w:ascii="Garamond" w:hAnsi="Garamond"/>
          <w:sz w:val="26"/>
        </w:rPr>
        <w:t xml:space="preserve"> </w:t>
      </w:r>
    </w:p>
    <w:p>
      <w:pPr>
        <w:pStyle w:val="Normal"/>
        <w:ind w:start="720" w:end="0"/>
        <w:jc w:val="both"/>
        <w:rPr>
          <w:rFonts w:ascii="Garamond" w:hAnsi="Garamond" w:cs="Garamond"/>
          <w:sz w:val="26"/>
        </w:rPr>
      </w:pPr>
      <w:r>
        <w:rPr>
          <w:rFonts w:cs="Garamond" w:ascii="Garamond" w:hAnsi="Garamond"/>
          <w:sz w:val="26"/>
        </w:rPr>
      </w:r>
    </w:p>
    <w:p>
      <w:pPr>
        <w:pStyle w:val="BodyTextIndent"/>
        <w:numPr>
          <w:ilvl w:val="0"/>
          <w:numId w:val="2"/>
        </w:numPr>
        <w:tabs>
          <w:tab w:val="clear" w:pos="720"/>
          <w:tab w:val="left" w:pos="0" w:leader="none"/>
        </w:tabs>
        <w:ind w:hanging="0" w:start="0" w:end="0"/>
        <w:jc w:val="both"/>
        <w:rPr>
          <w:rFonts w:ascii="Garamond" w:hAnsi="Garamond" w:cs="Garamond"/>
          <w:b/>
          <w:sz w:val="26"/>
        </w:rPr>
      </w:pPr>
      <w:r>
        <w:rPr>
          <w:rFonts w:cs="Garamond" w:ascii="Garamond" w:hAnsi="Garamond"/>
          <w:b/>
          <w:sz w:val="26"/>
        </w:rPr>
        <w:t>any implied terms and conditions in your jurisdiction that may impact on these agreements; and</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center"/>
        <w:rPr>
          <w:rFonts w:ascii="Garamond" w:hAnsi="Garamond" w:cs="Garamond"/>
          <w:i/>
          <w:i/>
          <w:sz w:val="26"/>
        </w:rPr>
      </w:pPr>
      <w:r>
        <w:rPr>
          <w:rFonts w:cs="Garamond" w:ascii="Garamond" w:hAnsi="Garamond"/>
          <w:i/>
          <w:sz w:val="26"/>
        </w:rPr>
        <w:t>[To be provided shortly]</w:t>
      </w:r>
    </w:p>
    <w:p>
      <w:pPr>
        <w:pStyle w:val="BodyTextIndent"/>
        <w:tabs>
          <w:tab w:val="clear" w:pos="720"/>
          <w:tab w:val="left" w:pos="0" w:leader="none"/>
        </w:tabs>
        <w:ind w:start="0" w:end="0"/>
        <w:jc w:val="both"/>
        <w:rPr>
          <w:rFonts w:ascii="Garamond" w:hAnsi="Garamond" w:cs="Garamond"/>
          <w:i/>
          <w:i/>
          <w:sz w:val="26"/>
        </w:rPr>
      </w:pPr>
      <w:r>
        <w:rPr>
          <w:rFonts w:cs="Garamond" w:ascii="Garamond" w:hAnsi="Garamond"/>
          <w:i/>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0"/>
          <w:numId w:val="2"/>
        </w:numPr>
        <w:tabs>
          <w:tab w:val="clear" w:pos="720"/>
          <w:tab w:val="left" w:pos="0" w:leader="none"/>
        </w:tabs>
        <w:ind w:hanging="0" w:start="0" w:end="0"/>
        <w:jc w:val="both"/>
        <w:rPr>
          <w:rFonts w:ascii="Garamond" w:hAnsi="Garamond" w:cs="Garamond"/>
          <w:b/>
          <w:sz w:val="26"/>
        </w:rPr>
      </w:pPr>
      <w:r>
        <w:rPr>
          <w:rFonts w:cs="Garamond" w:ascii="Garamond" w:hAnsi="Garamond"/>
          <w:b/>
          <w:sz w:val="26"/>
        </w:rPr>
        <w:t>any special local language or other requirements that must be addressed in these agreements.</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jc w:val="both"/>
        <w:rPr/>
      </w:pPr>
      <w:r>
        <w:rPr>
          <w:rFonts w:cs="Garamond" w:ascii="Garamond" w:hAnsi="Garamond"/>
          <w:sz w:val="26"/>
        </w:rPr>
        <w:t>Since the trades are only carried out with corporate entities and not individuals, it should not be considered a consumer relation for purposes of the Brazilian consumer protection regulations. These regulations require that any agreements with Brazilian consumers be written in Portuguese. Therefore, the agreements in subject can be in the English language.</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Are there any risks associated with Enron relying on the once only signing of the PA to govern access to the website or should the terms of the PA be "accepted" by the counterparty each time they trade?  Alternatively, is it necessary to have any specific wording on the website, confirming the terms and conditions of the PA apply generally to trades conducted under the ETA?</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Having the terms of the PA being accepted by the counterparty each time they trade reduces any risk related to knowledge of the counterparty with regard to the terms of the PA.</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pPr>
      <w:r>
        <w:rPr>
          <w:rFonts w:cs="Garamond" w:ascii="Garamond" w:hAnsi="Garamond"/>
          <w:sz w:val="26"/>
        </w:rPr>
        <w:t>In this regard, we understand that the most secure way of formalizing the trade would be to have the counterparty to enter its password before placing a trade order to Enron (see item 2</w:t>
      </w:r>
      <w:r>
        <w:rPr>
          <w:rFonts w:cs="Garamond" w:ascii="Garamond" w:hAnsi="Garamond"/>
          <w:sz w:val="26"/>
          <w:vertAlign w:val="superscript"/>
        </w:rPr>
        <w:t xml:space="preserve"> </w:t>
      </w:r>
      <w:r>
        <w:rPr>
          <w:rFonts w:cs="Garamond" w:ascii="Garamond" w:hAnsi="Garamond"/>
          <w:sz w:val="26"/>
        </w:rPr>
        <w:t xml:space="preserve">above). Our suggestion is that the screen in which the party enters its password shows a statement that by entering its password the counterparty acknowledges and confirms the terms of the PA and the ETA. </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Are there any risks with relying on the statement that Enron's electronic record of the trade will be conclusive proof of that trade.</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Normal"/>
        <w:ind w:start="720" w:end="0"/>
        <w:rPr>
          <w:rFonts w:ascii="Garamond" w:hAnsi="Garamond" w:cs="Garamond"/>
          <w:sz w:val="26"/>
          <w:lang w:eastAsia="pt-BR"/>
        </w:rPr>
      </w:pPr>
      <w:r>
        <w:rPr>
          <w:rFonts w:cs="Garamond" w:ascii="Garamond" w:hAnsi="Garamond"/>
          <w:sz w:val="26"/>
          <w:lang w:eastAsia="pt-BR"/>
        </w:rPr>
        <w:t>One of the major challenges and setbacks for the parties to this type of deal refers to the production of proper evidence. It is still unclear whether digital files are comparable to a document.</w:t>
      </w:r>
    </w:p>
    <w:p>
      <w:pPr>
        <w:pStyle w:val="Normal"/>
        <w:tabs>
          <w:tab w:val="clear" w:pos="720"/>
          <w:tab w:val="left" w:pos="2127" w:leader="none"/>
        </w:tabs>
        <w:ind w:start="720" w:end="0"/>
        <w:jc w:val="both"/>
        <w:rPr>
          <w:rFonts w:ascii="Garamond" w:hAnsi="Garamond" w:cs="Garamond"/>
          <w:sz w:val="26"/>
          <w:lang w:eastAsia="pt-BR"/>
        </w:rPr>
      </w:pPr>
      <w:r>
        <w:rPr>
          <w:rFonts w:cs="Garamond" w:ascii="Garamond" w:hAnsi="Garamond"/>
          <w:sz w:val="26"/>
          <w:lang w:eastAsia="pt-BR"/>
        </w:rPr>
      </w:r>
    </w:p>
    <w:p>
      <w:pPr>
        <w:pStyle w:val="Normal"/>
        <w:ind w:start="720" w:end="0"/>
        <w:jc w:val="both"/>
        <w:rPr>
          <w:rFonts w:ascii="Garamond" w:hAnsi="Garamond" w:cs="Garamond"/>
          <w:sz w:val="26"/>
        </w:rPr>
      </w:pPr>
      <w:r>
        <w:rPr>
          <w:rFonts w:cs="Garamond" w:ascii="Garamond" w:hAnsi="Garamond"/>
          <w:sz w:val="26"/>
        </w:rPr>
        <w:t>The Brazilian Civil Procedure Code establishes that all legal and morally acceptable means can be used in court as evidence of a fact or a relationship. Therefore electronic evidences are admissible in court proceedings.</w:t>
      </w:r>
    </w:p>
    <w:p>
      <w:pPr>
        <w:pStyle w:val="Normal"/>
        <w:ind w:start="720" w:end="0"/>
        <w:jc w:val="both"/>
        <w:rPr>
          <w:rFonts w:ascii="Garamond" w:hAnsi="Garamond" w:cs="Garamond"/>
          <w:sz w:val="26"/>
        </w:rPr>
      </w:pPr>
      <w:r>
        <w:rPr>
          <w:rFonts w:cs="Garamond" w:ascii="Garamond" w:hAnsi="Garamond"/>
          <w:sz w:val="26"/>
        </w:rPr>
      </w:r>
    </w:p>
    <w:p>
      <w:pPr>
        <w:pStyle w:val="Normal"/>
        <w:ind w:start="720" w:end="0"/>
        <w:jc w:val="both"/>
        <w:rPr>
          <w:rFonts w:ascii="Garamond" w:hAnsi="Garamond" w:cs="Garamond"/>
          <w:sz w:val="26"/>
        </w:rPr>
      </w:pPr>
      <w:r>
        <w:rPr>
          <w:rFonts w:cs="Garamond" w:ascii="Garamond" w:hAnsi="Garamond"/>
          <w:sz w:val="26"/>
        </w:rPr>
      </w:r>
    </w:p>
    <w:p>
      <w:pPr>
        <w:pStyle w:val="Normal"/>
        <w:ind w:start="720" w:end="0"/>
        <w:jc w:val="both"/>
        <w:rPr>
          <w:rFonts w:ascii="Garamond" w:hAnsi="Garamond" w:cs="Garamond"/>
          <w:sz w:val="26"/>
          <w:lang w:eastAsia="pt-BR"/>
        </w:rPr>
      </w:pPr>
      <w:r>
        <w:rPr>
          <w:rFonts w:cs="Garamond" w:ascii="Garamond" w:hAnsi="Garamond"/>
          <w:sz w:val="26"/>
          <w:lang w:eastAsia="pt-BR"/>
        </w:rPr>
        <w:t xml:space="preserve">The lack of clear-cut legal definitions about what a </w:t>
      </w:r>
      <w:r>
        <w:rPr>
          <w:rFonts w:cs="Garamond" w:ascii="Garamond" w:hAnsi="Garamond"/>
          <w:i/>
          <w:sz w:val="26"/>
          <w:lang w:eastAsia="pt-BR"/>
        </w:rPr>
        <w:t xml:space="preserve">document </w:t>
      </w:r>
      <w:r>
        <w:rPr>
          <w:rFonts w:cs="Garamond" w:ascii="Garamond" w:hAnsi="Garamond"/>
          <w:sz w:val="26"/>
          <w:lang w:eastAsia="pt-BR"/>
        </w:rPr>
        <w:t xml:space="preserve">is has stirred up discussions in this specific area. The features necessary to classify an electronic file as a </w:t>
      </w:r>
      <w:r>
        <w:rPr>
          <w:rFonts w:cs="Garamond" w:ascii="Garamond" w:hAnsi="Garamond"/>
          <w:i/>
          <w:sz w:val="26"/>
          <w:lang w:eastAsia="pt-BR"/>
        </w:rPr>
        <w:t>document</w:t>
      </w:r>
      <w:r>
        <w:rPr>
          <w:rFonts w:cs="Garamond" w:ascii="Garamond" w:hAnsi="Garamond"/>
          <w:sz w:val="26"/>
          <w:lang w:eastAsia="pt-BR"/>
        </w:rPr>
        <w:t xml:space="preserve"> are still a bone of contention among legal writers.</w:t>
      </w:r>
    </w:p>
    <w:p>
      <w:pPr>
        <w:pStyle w:val="Normal"/>
        <w:rPr>
          <w:rFonts w:ascii="Garamond" w:hAnsi="Garamond" w:cs="Garamond"/>
          <w:sz w:val="26"/>
          <w:lang w:eastAsia="pt-BR"/>
        </w:rPr>
      </w:pPr>
      <w:r>
        <w:rPr>
          <w:rFonts w:cs="Garamond" w:ascii="Garamond" w:hAnsi="Garamond"/>
          <w:sz w:val="26"/>
          <w:lang w:eastAsia="pt-BR"/>
        </w:rPr>
      </w:r>
    </w:p>
    <w:p>
      <w:pPr>
        <w:pStyle w:val="Normal"/>
        <w:ind w:start="720" w:end="0"/>
        <w:jc w:val="both"/>
        <w:rPr>
          <w:rFonts w:ascii="Garamond" w:hAnsi="Garamond" w:cs="Garamond"/>
          <w:sz w:val="26"/>
          <w:lang w:eastAsia="pt-BR"/>
        </w:rPr>
      </w:pPr>
      <w:r>
        <w:rPr>
          <w:rFonts w:cs="Garamond" w:ascii="Garamond" w:hAnsi="Garamond"/>
          <w:sz w:val="26"/>
          <w:lang w:eastAsia="pt-BR"/>
        </w:rPr>
        <w:t>Some concerns shown by legal writers about e-commerce contracts cast further doubts about their evidentiary value, since: (i) such contracts do not bear the hand signature of the parties; (ii) the identity of the contracting party is uncertain (leading to grounded fears that a party may purport to be another in these contracts); and (iii) the integrity of their contents is not assured (an electronic contract may conceivably be unduly changed without leaving any trace of whoever has done so).</w:t>
      </w:r>
    </w:p>
    <w:p>
      <w:pPr>
        <w:pStyle w:val="Normal"/>
        <w:ind w:start="720" w:end="0"/>
        <w:jc w:val="both"/>
        <w:rPr>
          <w:rFonts w:ascii="Garamond" w:hAnsi="Garamond" w:cs="Garamond"/>
          <w:sz w:val="26"/>
          <w:lang w:eastAsia="pt-BR"/>
        </w:rPr>
      </w:pPr>
      <w:r>
        <w:rPr>
          <w:rFonts w:cs="Garamond" w:ascii="Garamond" w:hAnsi="Garamond"/>
          <w:sz w:val="26"/>
          <w:lang w:eastAsia="pt-BR"/>
        </w:rPr>
      </w:r>
    </w:p>
    <w:p>
      <w:pPr>
        <w:pStyle w:val="Normal"/>
        <w:ind w:start="720" w:end="0"/>
        <w:jc w:val="both"/>
        <w:rPr>
          <w:rFonts w:ascii="Garamond" w:hAnsi="Garamond" w:cs="Garamond"/>
          <w:sz w:val="26"/>
          <w:lang w:eastAsia="pt-BR"/>
        </w:rPr>
      </w:pPr>
      <w:r>
        <w:rPr>
          <w:rFonts w:cs="Garamond" w:ascii="Garamond" w:hAnsi="Garamond"/>
          <w:sz w:val="26"/>
          <w:lang w:eastAsia="pt-BR"/>
        </w:rPr>
        <w:t xml:space="preserve">In light of such difficulties, the existence and extent of an electronic contract in court will likely be proven by technical expert investigation, in lieu of the attachment of a document. Today, judges may still be uncomfortable in dealing with electronic evidence and therefore reluctant in acceptance its validity. </w:t>
      </w:r>
    </w:p>
    <w:p>
      <w:pPr>
        <w:pStyle w:val="Normal"/>
        <w:ind w:start="720" w:end="0"/>
        <w:jc w:val="both"/>
        <w:rPr>
          <w:rFonts w:ascii="Garamond" w:hAnsi="Garamond" w:cs="Garamond"/>
          <w:sz w:val="26"/>
          <w:lang w:eastAsia="pt-BR"/>
        </w:rPr>
      </w:pPr>
      <w:r>
        <w:rPr>
          <w:rFonts w:cs="Garamond" w:ascii="Garamond" w:hAnsi="Garamond"/>
          <w:sz w:val="26"/>
          <w:lang w:eastAsia="pt-BR"/>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Enron intends for the counterparty's original message for a trade to Enron to constitute an offer rather than Enron's website itself constituting an offer.  Is this position enforceable in your jurisdiction?  Should any wording be included on the website to make it clear that the website is not intended to be an offer or will it be sufficient to state this in the ETA or relevant terms and conditions?</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According to the Brazilian Civil Code, the offer binds the offering party. Which means that once an offer is made and a party has accepted the offer, the offering party can not withdraw from the offered transaction.</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pPr>
      <w:r>
        <w:rPr>
          <w:rFonts w:cs="Garamond" w:ascii="Garamond" w:hAnsi="Garamond"/>
          <w:sz w:val="26"/>
        </w:rPr>
        <w:t>In principle, the website would be considered an offe</w:t>
      </w:r>
      <w:r>
        <w:rPr>
          <w:rFonts w:cs="Garamond" w:ascii="Garamond" w:hAnsi="Garamond"/>
          <w:sz w:val="26"/>
        </w:rPr>
        <w:t>r if anyone could place an order</w:t>
      </w:r>
      <w:r>
        <w:rPr>
          <w:rFonts w:cs="Garamond" w:ascii="Garamond" w:hAnsi="Garamond"/>
          <w:sz w:val="26"/>
        </w:rPr>
        <w:t xml:space="preserve"> </w:t>
      </w:r>
      <w:r>
        <w:rPr>
          <w:rFonts w:cs="Garamond" w:ascii="Garamond" w:hAnsi="Garamond"/>
          <w:sz w:val="26"/>
        </w:rPr>
        <w:t>without any conditions being imposed on its acceptance</w:t>
      </w:r>
      <w:r>
        <w:rPr>
          <w:rFonts w:cs="Garamond" w:ascii="Garamond" w:hAnsi="Garamond"/>
          <w:sz w:val="26"/>
        </w:rPr>
        <w:t>. Therefore, in order not to be</w:t>
      </w:r>
      <w:r>
        <w:rPr>
          <w:rFonts w:cs="Garamond" w:ascii="Garamond" w:hAnsi="Garamond"/>
          <w:sz w:val="26"/>
        </w:rPr>
        <w:t xml:space="preserve"> considered an offer, the website must contain disclaimers and warnings to make clear that the order placed by a counterparty will be subject to certain conditions, including a credit review by Enron. It should be stated that once the acceptance is given by Enron, the trade shall be deemed completed, which also reinforces that the offer is being made by the counterparty.</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pPr>
      <w:r>
        <w:rPr>
          <w:rFonts w:cs="Garamond" w:ascii="Garamond" w:hAnsi="Garamond"/>
          <w:sz w:val="26"/>
        </w:rPr>
        <w:t>With regard to the effective completion date, the Brazilian Civil Code adopts the approach whereby the transaction is deemed to completed when the proposal is accepted. In this case, the proposal will be considered to have been accepted when Enron sends the confirmation of its acceptance of the order to trade placed by the counterparty, whether or not this confirmation is actually received by the counterparty.</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pPr>
      <w:r>
        <w:rPr>
          <w:rFonts w:cs="Garamond" w:ascii="Garamond" w:hAnsi="Garamond"/>
          <w:sz w:val="26"/>
        </w:rPr>
        <w:t>Of course that the counterparty will always be able to challenge such completion date if there is no evidence of the receipt of Enron’s acceptance. In this situation Enron would be protected by article 1.086 of the Brazilian Civil Code, which states that the agreements by letter or telegraphic correspondence are completed on the moment of the issuance (remittance) of the acceptance to the offer. Enron would have to submit evidence that such acceptance has actually been sent.</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pPr>
      <w:r>
        <w:rPr>
          <w:rFonts w:cs="Garamond" w:ascii="Garamond" w:hAnsi="Garamond"/>
          <w:sz w:val="26"/>
        </w:rPr>
        <w:t xml:space="preserve">However, if the trade order placed by the counterparty is considered an offer, the trade order could be withdrawn by the counterparty before or upon the receipt of the confirmation of Enron’s acceptance by the counterparty. </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pPr>
      <w:r>
        <w:rPr>
          <w:rFonts w:cs="Garamond" w:ascii="Garamond" w:hAnsi="Garamond"/>
          <w:sz w:val="26"/>
        </w:rPr>
        <w:t>From a practical standpoint, this issue will only arise when a counterparty challenges the validity of a certain trade for not receiving Enron’s acceptance timely. Please note that this acceptance can be made through electronic mail, letter or even fax or telephone. Obviously Enron must always keep records that the acceptance has been sent and, if possible, also delivered to the counterparty.</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Exclusions/Restrictions on Liability</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Please review the liability exclusions in both the PA and ETA and comment on their enforceability in your jurisdiction.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center"/>
        <w:rPr>
          <w:rFonts w:ascii="Garamond" w:hAnsi="Garamond" w:cs="Garamond"/>
          <w:sz w:val="26"/>
        </w:rPr>
      </w:pPr>
      <w:r>
        <w:rPr>
          <w:rFonts w:cs="Garamond" w:ascii="Garamond" w:hAnsi="Garamond"/>
          <w:sz w:val="26"/>
        </w:rPr>
        <w:t>[To be provided shortly]</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Enron wants to exclude liability for consequential, special, indirect and purely economic losses (see clause 4(a) of the ETA). Is the exclusion of these kinds of losses possible in your jurisdiction? Is the wording chosen appropriate in your jurisdiction?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center"/>
        <w:rPr>
          <w:rFonts w:ascii="Garamond" w:hAnsi="Garamond" w:cs="Garamond"/>
          <w:sz w:val="26"/>
        </w:rPr>
      </w:pPr>
      <w:r>
        <w:rPr>
          <w:rFonts w:cs="Garamond" w:ascii="Garamond" w:hAnsi="Garamond"/>
          <w:sz w:val="26"/>
        </w:rPr>
        <w:t>[To be provided shortly]</w:t>
      </w:r>
    </w:p>
    <w:p>
      <w:pPr>
        <w:pStyle w:val="BodyTextIndent"/>
        <w:tabs>
          <w:tab w:val="clear" w:pos="720"/>
          <w:tab w:val="left" w:pos="0" w:leader="none"/>
        </w:tabs>
        <w:ind w:start="0" w:end="0"/>
        <w:jc w:val="center"/>
        <w:rPr>
          <w:rFonts w:ascii="Garamond" w:hAnsi="Garamond" w:cs="Garamond"/>
          <w:sz w:val="26"/>
        </w:rPr>
      </w:pPr>
      <w:r>
        <w:rPr>
          <w:rFonts w:cs="Garamond" w:ascii="Garamond" w:hAnsi="Garamond"/>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Are there any other liability exclusion or limitation issues that we should be aware of in your jurisdiction?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center"/>
        <w:rPr>
          <w:rFonts w:ascii="Garamond" w:hAnsi="Garamond" w:cs="Garamond"/>
          <w:sz w:val="26"/>
        </w:rPr>
      </w:pPr>
      <w:r>
        <w:rPr>
          <w:rFonts w:cs="Garamond" w:ascii="Garamond" w:hAnsi="Garamond"/>
          <w:sz w:val="26"/>
        </w:rPr>
        <w:t>[To be provided shortly]</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Verification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t>A counterparty can only access the website by use of a password issued by Enron under the PA.  That said, in your jurisdiction would this be sufficient to satisfy any specific laws, rules, regulations, procedures or other evidential issues concerning the verification of the counterparty? In particular, please provide advice on the risks and potential liability of Enron in your jurisdiction if a third party obtains the counterparty's password and purports to trade with Enron via the Internet even where the counterparty has taken reasonable steps to protect the password.  What would Enron's liabilities be in the event that the counterparty did not honour such trade?  Is Enron permitted to rely on the fact that if the password has been used all offers have emanated from that counterparty?</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 xml:space="preserve">Given the absence of specific rules, use of a password has been generally accepted as a means of verification of a counterparty. Should a counterparty claim that the password was wrongfully used by an unauthorized person and therefore reject a given transaction, Enron’s exposure would be the amount of the transaction itself (we are not considering Enron’s commitments to third parties, such as suppliers). Should the matter be brought before court, recent cases suggest that the court would impose the reversal of the burden of proof. In other words, it would be Enron’s responsibility to show that the password was used by an unauthorized person and that this was the results of the counterparty’s fault. Accordingly, Enron would not be permitted to rely on the fact that if the password has been used all offers have emanated from that counterparty. </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tab/>
        <w:t xml:space="preserve">We will elaborate on this question shortly. </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Advertising Laws</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t>To what extent will Enron be prohibited or restricted from advertising or offering to buy or sell commodities and derivatives via the Internet in your jurisdiction?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color w:val="0000FF"/>
          <w:sz w:val="26"/>
          <w:lang w:eastAsia="pt-BR"/>
        </w:rPr>
        <w:tab/>
        <w:t>Please see our comments to your question 9.</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keepNext w:val="true"/>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Data Protection</w:t>
      </w:r>
    </w:p>
    <w:p>
      <w:pPr>
        <w:pStyle w:val="BodyTextIndent"/>
        <w:keepNext w:val="true"/>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keepNext w:val="true"/>
        <w:tabs>
          <w:tab w:val="clear" w:pos="720"/>
          <w:tab w:val="left" w:pos="0" w:leader="none"/>
        </w:tabs>
        <w:ind w:start="0" w:end="0"/>
        <w:jc w:val="both"/>
        <w:rPr>
          <w:rFonts w:ascii="Garamond" w:hAnsi="Garamond" w:cs="Garamond"/>
          <w:b/>
          <w:sz w:val="26"/>
        </w:rPr>
      </w:pPr>
      <w:r>
        <w:rPr>
          <w:rFonts w:cs="Garamond" w:ascii="Garamond" w:hAnsi="Garamond"/>
          <w:b/>
          <w:sz w:val="26"/>
        </w:rPr>
        <w:t>Please confirm the extent to which, if any, data protection law issues will apply to this venture.</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Normal"/>
        <w:ind w:start="720" w:end="0"/>
        <w:jc w:val="both"/>
        <w:rPr>
          <w:rFonts w:ascii="Garamond" w:hAnsi="Garamond" w:cs="Garamond"/>
          <w:sz w:val="26"/>
        </w:rPr>
      </w:pPr>
      <w:r>
        <w:rPr>
          <w:rFonts w:cs="Garamond" w:ascii="Garamond" w:hAnsi="Garamond"/>
          <w:sz w:val="26"/>
        </w:rPr>
      </w:r>
    </w:p>
    <w:p>
      <w:pPr>
        <w:pStyle w:val="Normal"/>
        <w:ind w:start="720" w:end="0"/>
        <w:jc w:val="both"/>
        <w:rPr>
          <w:rFonts w:ascii="Garamond" w:hAnsi="Garamond" w:cs="Garamond"/>
          <w:sz w:val="26"/>
        </w:rPr>
      </w:pPr>
      <w:r>
        <w:rPr>
          <w:rFonts w:cs="Garamond" w:ascii="Garamond" w:hAnsi="Garamond"/>
          <w:sz w:val="26"/>
        </w:rPr>
        <w:t xml:space="preserve">Please be aware that it has not yet been settled either by the courts or law professors if correspondence exchanged by electronic means is afforded the privacy and secrecy protections of the Federal Constitution. </w:t>
      </w:r>
    </w:p>
    <w:p>
      <w:pPr>
        <w:pStyle w:val="Normal"/>
        <w:ind w:start="720" w:end="0"/>
        <w:jc w:val="both"/>
        <w:rPr>
          <w:rFonts w:ascii="Garamond" w:hAnsi="Garamond" w:cs="Garamond"/>
          <w:sz w:val="26"/>
        </w:rPr>
      </w:pPr>
      <w:r>
        <w:rPr>
          <w:rFonts w:cs="Garamond" w:ascii="Garamond" w:hAnsi="Garamond"/>
          <w:sz w:val="26"/>
        </w:rPr>
      </w:r>
    </w:p>
    <w:p>
      <w:pPr>
        <w:pStyle w:val="Normal"/>
        <w:ind w:start="720" w:end="0"/>
        <w:jc w:val="both"/>
        <w:rPr>
          <w:rFonts w:ascii="Garamond" w:hAnsi="Garamond" w:cs="Garamond"/>
          <w:sz w:val="26"/>
        </w:rPr>
      </w:pPr>
      <w:r>
        <w:rPr>
          <w:rFonts w:cs="Garamond" w:ascii="Garamond" w:hAnsi="Garamond"/>
          <w:sz w:val="26"/>
        </w:rPr>
        <w:t>In Brazil, data protection laws only apply to consumers’ transactions. Since the Enron website is not directed to consumers in general, there is no specific restriction applying to the data content generated and stored by Enron as a result of the transactions carried out in the website.</w:t>
      </w:r>
    </w:p>
    <w:p>
      <w:pPr>
        <w:pStyle w:val="Normal"/>
        <w:ind w:start="720" w:end="0"/>
        <w:jc w:val="both"/>
        <w:rPr>
          <w:rFonts w:ascii="Garamond" w:hAnsi="Garamond" w:cs="Garamond"/>
          <w:sz w:val="26"/>
        </w:rPr>
      </w:pPr>
      <w:r>
        <w:rPr>
          <w:rFonts w:cs="Garamond" w:ascii="Garamond" w:hAnsi="Garamond"/>
          <w:sz w:val="26"/>
        </w:rPr>
      </w:r>
    </w:p>
    <w:p>
      <w:pPr>
        <w:pStyle w:val="Normal"/>
        <w:ind w:start="720" w:end="0"/>
        <w:jc w:val="both"/>
        <w:rPr/>
      </w:pPr>
      <w:r>
        <w:rPr>
          <w:rFonts w:cs="Garamond" w:ascii="Garamond" w:hAnsi="Garamond"/>
          <w:sz w:val="26"/>
          <w:lang w:eastAsia="pt-BR"/>
        </w:rPr>
        <w:t xml:space="preserve">As mentioned, there are few legal writings in this respect, and discussions are still incipient, most of them focusing on the environment (the Internet) where such (public or private) transactions are carried out, as well as on the definition of the extent of the rights warranted by the Constitution (i.e., whether they are also valid for data communications) or the nature of e-mails (e.g., open or closed correspondence). There are very few court precedents in relation to this matter and they do not show a judicial trend. </w:t>
      </w:r>
    </w:p>
    <w:p>
      <w:pPr>
        <w:pStyle w:val="Normal"/>
        <w:ind w:start="720" w:end="0"/>
        <w:jc w:val="both"/>
        <w:rPr>
          <w:rFonts w:ascii="Garamond" w:hAnsi="Garamond" w:cs="Garamond"/>
          <w:sz w:val="26"/>
          <w:lang w:eastAsia="pt-BR"/>
        </w:rPr>
      </w:pPr>
      <w:r>
        <w:rPr>
          <w:rFonts w:cs="Garamond" w:ascii="Garamond" w:hAnsi="Garamond"/>
          <w:sz w:val="26"/>
          <w:lang w:eastAsia="pt-BR"/>
        </w:rPr>
      </w:r>
    </w:p>
    <w:p>
      <w:pPr>
        <w:pStyle w:val="Normal"/>
        <w:ind w:start="72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Intellectual Property Rights</w:t>
      </w:r>
    </w:p>
    <w:p>
      <w:pPr>
        <w:pStyle w:val="BodyTextIndent"/>
        <w:keepLines/>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keepLines/>
        <w:tabs>
          <w:tab w:val="clear" w:pos="720"/>
          <w:tab w:val="left" w:pos="0" w:leader="none"/>
        </w:tabs>
        <w:ind w:start="0" w:end="0"/>
        <w:jc w:val="both"/>
        <w:rPr>
          <w:rFonts w:ascii="Garamond" w:hAnsi="Garamond" w:cs="Garamond"/>
          <w:b/>
          <w:sz w:val="26"/>
        </w:rPr>
      </w:pPr>
      <w:r>
        <w:rPr>
          <w:rFonts w:cs="Garamond" w:ascii="Garamond" w:hAnsi="Garamond"/>
          <w:b/>
          <w:sz w:val="26"/>
        </w:rPr>
        <w:t>Are there any intellectual property rights issues which Enron should bear in mind when carrying out this activity?</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t xml:space="preserve">The first intellectual property issue relates to the domain name. Brazil has adopted a “first filed” system to attribute ownership over a domain name.  Filing is made with a non-governamental agency called FAPESP.  Domain name squatting is not unusual in Brazil. </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t xml:space="preserve">Similarly, attention must be paid to the use of trademarks. Filing of the trademarks to be used by Enron in its Internet project with the Brazilian trademark and patent office (INPI) is advised. </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Normal"/>
        <w:ind w:start="720" w:end="0"/>
        <w:jc w:val="both"/>
        <w:rPr>
          <w:rFonts w:ascii="Garamond" w:hAnsi="Garamond" w:cs="Garamond"/>
          <w:sz w:val="26"/>
        </w:rPr>
      </w:pPr>
      <w:r>
        <w:rPr>
          <w:rFonts w:cs="Garamond" w:ascii="Garamond" w:hAnsi="Garamond"/>
          <w:sz w:val="26"/>
        </w:rPr>
        <w:t xml:space="preserve">The website layout is protected under copyright law. No registration is necessary for such protection. </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General</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t>To the extent not dealt with above, please set out in broad terms any other issues which Enron should consider in relation to this proposed venture.</w:t>
      </w:r>
    </w:p>
    <w:p>
      <w:pPr>
        <w:pStyle w:val="BodyText"/>
        <w:tabs>
          <w:tab w:val="clear" w:pos="720"/>
          <w:tab w:val="left" w:pos="0" w:leader="none"/>
        </w:tabs>
        <w:rPr>
          <w:rFonts w:ascii="Garamond" w:hAnsi="Garamond" w:cs="Garamond"/>
          <w:b/>
          <w:sz w:val="26"/>
        </w:rPr>
      </w:pPr>
      <w:r>
        <w:rPr>
          <w:rFonts w:cs="Garamond" w:ascii="Garamond" w:hAnsi="Garamond"/>
          <w:b/>
          <w:sz w:val="26"/>
        </w:rPr>
      </w:r>
    </w:p>
    <w:p>
      <w:pPr>
        <w:pStyle w:val="BodyText"/>
        <w:tabs>
          <w:tab w:val="clear" w:pos="720"/>
          <w:tab w:val="left" w:pos="0" w:leader="none"/>
        </w:tabs>
        <w:rPr>
          <w:rFonts w:ascii="Garamond" w:hAnsi="Garamond" w:cs="Garamond"/>
          <w:sz w:val="26"/>
        </w:rPr>
      </w:pPr>
      <w:r>
        <w:rPr>
          <w:rFonts w:cs="Garamond" w:ascii="Garamond" w:hAnsi="Garamond"/>
          <w:sz w:val="26"/>
        </w:rPr>
      </w:r>
    </w:p>
    <w:p>
      <w:pPr>
        <w:pStyle w:val="BodyText"/>
        <w:tabs>
          <w:tab w:val="clear" w:pos="720"/>
          <w:tab w:val="left" w:pos="0" w:leader="none"/>
        </w:tabs>
        <w:jc w:val="center"/>
        <w:rPr>
          <w:rFonts w:ascii="Garamond" w:hAnsi="Garamond" w:cs="Garamond"/>
          <w:i/>
          <w:i/>
          <w:sz w:val="26"/>
        </w:rPr>
      </w:pPr>
      <w:r>
        <w:rPr>
          <w:rFonts w:cs="Garamond" w:ascii="Garamond" w:hAnsi="Garamond"/>
          <w:i/>
          <w:sz w:val="26"/>
        </w:rPr>
        <w:t>[To be provided shortly]</w:t>
      </w:r>
    </w:p>
    <w:p>
      <w:pPr>
        <w:pStyle w:val="BodyText"/>
        <w:tabs>
          <w:tab w:val="clear" w:pos="720"/>
          <w:tab w:val="left" w:pos="0" w:leader="none"/>
        </w:tabs>
        <w:jc w:val="center"/>
        <w:rPr>
          <w:rFonts w:ascii="Garamond" w:hAnsi="Garamond" w:cs="Garamond"/>
          <w:i/>
          <w:i/>
          <w:sz w:val="26"/>
        </w:rPr>
      </w:pPr>
      <w:r>
        <w:rPr>
          <w:rFonts w:cs="Garamond" w:ascii="Garamond" w:hAnsi="Garamond"/>
          <w:i/>
          <w:sz w:val="26"/>
        </w:rPr>
      </w:r>
    </w:p>
    <w:p>
      <w:pPr>
        <w:pStyle w:val="BodyTextIndent"/>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Products Traded through the Internet:</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Have relevant regulators in your jurisdiction made any statements regarding marketing of or dealing in any of the following types of products through the Internet or other electronic systems:</w:t>
      </w:r>
    </w:p>
    <w:p>
      <w:pPr>
        <w:pStyle w:val="BodyText"/>
        <w:numPr>
          <w:ilvl w:val="0"/>
          <w:numId w:val="3"/>
        </w:numPr>
        <w:tabs>
          <w:tab w:val="clear" w:pos="720"/>
          <w:tab w:val="left" w:pos="0" w:leader="none"/>
        </w:tabs>
        <w:ind w:hanging="0" w:start="0" w:end="0"/>
        <w:rPr>
          <w:rFonts w:ascii="Garamond" w:hAnsi="Garamond" w:cs="Garamond"/>
          <w:b/>
          <w:sz w:val="26"/>
        </w:rPr>
      </w:pPr>
      <w:r>
        <w:rPr>
          <w:rFonts w:cs="Garamond" w:ascii="Garamond" w:hAnsi="Garamond"/>
          <w:b/>
          <w:sz w:val="26"/>
        </w:rPr>
        <w:t>Commodity transactions relating to oil, gas, electricity, weather, pulp and paper or other commodities, whether derivative transactions (cash settled) or physically settled.</w:t>
      </w:r>
    </w:p>
    <w:p>
      <w:pPr>
        <w:pStyle w:val="BodyText"/>
        <w:numPr>
          <w:ilvl w:val="0"/>
          <w:numId w:val="4"/>
        </w:numPr>
        <w:tabs>
          <w:tab w:val="clear" w:pos="720"/>
          <w:tab w:val="left" w:pos="0" w:leader="none"/>
          <w:tab w:val="left" w:pos="426" w:leader="none"/>
        </w:tabs>
        <w:ind w:hanging="0" w:start="0" w:end="0"/>
        <w:rPr>
          <w:rFonts w:ascii="Garamond" w:hAnsi="Garamond" w:cs="Garamond"/>
          <w:b/>
          <w:sz w:val="26"/>
        </w:rPr>
      </w:pPr>
      <w:r>
        <w:rPr>
          <w:rFonts w:cs="Garamond" w:ascii="Garamond" w:hAnsi="Garamond"/>
          <w:b/>
          <w:sz w:val="26"/>
        </w:rPr>
        <w:t>Financial derivatives - i.e. interest rate, foreign exchange, or credit derivatives.</w:t>
      </w:r>
    </w:p>
    <w:p>
      <w:pPr>
        <w:pStyle w:val="BodyText"/>
        <w:tabs>
          <w:tab w:val="clear" w:pos="720"/>
          <w:tab w:val="left" w:pos="0" w:leader="none"/>
        </w:tabs>
        <w:rPr>
          <w:rFonts w:ascii="Garamond" w:hAnsi="Garamond" w:cs="Garamond"/>
          <w:b/>
          <w:sz w:val="26"/>
        </w:rPr>
      </w:pPr>
      <w:r>
        <w:rPr>
          <w:rFonts w:cs="Garamond" w:ascii="Garamond" w:hAnsi="Garamond"/>
          <w:b/>
          <w:sz w:val="26"/>
        </w:rPr>
        <w:t>If so, please could you provide us with a brief summary.</w:t>
      </w:r>
    </w:p>
    <w:p>
      <w:pPr>
        <w:pStyle w:val="BodyText"/>
        <w:tabs>
          <w:tab w:val="clear" w:pos="720"/>
          <w:tab w:val="left" w:pos="0" w:leader="none"/>
        </w:tabs>
        <w:rPr>
          <w:rFonts w:ascii="Garamond" w:hAnsi="Garamond" w:cs="Garamond"/>
          <w:b/>
          <w:sz w:val="26"/>
        </w:rPr>
      </w:pPr>
      <w:r>
        <w:rPr>
          <w:rFonts w:cs="Garamond" w:ascii="Garamond" w:hAnsi="Garamond"/>
          <w:b/>
          <w:sz w:val="26"/>
        </w:rPr>
      </w:r>
    </w:p>
    <w:p>
      <w:pPr>
        <w:pStyle w:val="BodyText"/>
        <w:ind w:start="720" w:end="0"/>
        <w:rPr>
          <w:rFonts w:ascii="Garamond" w:hAnsi="Garamond" w:cs="Garamond"/>
          <w:sz w:val="26"/>
        </w:rPr>
      </w:pPr>
      <w:r>
        <w:rPr>
          <w:rFonts w:cs="Garamond" w:ascii="Garamond" w:hAnsi="Garamond"/>
          <w:sz w:val="26"/>
        </w:rPr>
        <w:t>Although there is no clear legislation in this regard, we understand that the commodity transactions relating to oil, gas, electricity, weather, pulp and paper or other commodities, whether derivative transactions (cash settled) and financial derivatives should be carried out by a financial institution, since such services are considered proper of financial institutions. In the event that the settlements of commodities are physical only,  we understand that a non-financial institution may carry out the commodity transactions in caption.</w:t>
      </w:r>
    </w:p>
    <w:p>
      <w:pPr>
        <w:pStyle w:val="BodyText"/>
        <w:rPr>
          <w:rFonts w:ascii="Garamond" w:hAnsi="Garamond" w:cs="Garamond"/>
          <w:sz w:val="26"/>
        </w:rPr>
      </w:pPr>
      <w:r>
        <w:rPr>
          <w:rFonts w:cs="Garamond" w:ascii="Garamond" w:hAnsi="Garamond"/>
          <w:sz w:val="26"/>
        </w:rPr>
      </w:r>
    </w:p>
    <w:p>
      <w:pPr>
        <w:pStyle w:val="BodyText"/>
        <w:ind w:start="720" w:end="0"/>
        <w:rPr>
          <w:rFonts w:ascii="Garamond" w:hAnsi="Garamond" w:cs="Garamond"/>
          <w:sz w:val="26"/>
        </w:rPr>
      </w:pPr>
      <w:r>
        <w:rPr>
          <w:rFonts w:cs="Garamond" w:ascii="Garamond" w:hAnsi="Garamond"/>
          <w:sz w:val="26"/>
        </w:rPr>
        <w:t>Similarly to what occurs in other countries, the financial services industry in Brazil is a highly regulated industry and specific laws and regulatory instruments have been used by Brazilian authorities in order to foster sound banking practices and promote the stability of financial system in general.  Law No. 4595 of December 31, 1964 (the “Banking Law”) is the most significant of these laws, serving to establish the structure and organize the operation of the domestic financial system, which consists of the Brazilian Monetary Council, the Central Bank of Brazil, Banco do Brasil S.A., the National Economic and Social Development Bank (BNDES), and all other public and private financial institutions authorized by the Central Bank of Brazil, which include the commercial banks, investment banks, credit, financing and investment companies, securities dealerships, brokerage companies, leasing companies and multiservice banks.</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 xml:space="preserve">Article 17 of the Banking Law defines financial institutions as public or private corporations whose principal or secondary business is the collection, brokerage or investment of financial resources belonging to themselves or to third parties, in domestic or foreign currency, and the custody of assets belonging to third parties. </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Every financial institution in Brazil must be licensed by the Central Bank of Brazil and any foreign institution requires further authorization by government decree. Thus, the Central Bank is responsible for controlling and supervising financial institutions, as more specifically described in the next subsection (Regulatory Authorities).</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Due to the lack of regulatory legislation in Brazil with respect to the offering and performance of financial activities through the Internet web sites, the rules currently applicable to the Brazilian financial system and its activities have to be complied with irrespective of the medium through which banking and securities activities are performed, including via Internet.  In addition, mutatis mutandis, the aspects raised above are also fully applicable to financial activities through the Internet.</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 xml:space="preserve">There is no specific regulatory entity in Brazil charged with the regulation and supervision of banks and other financial institutions and its activities performed by means of Internet web sites.  </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 xml:space="preserve">Accordingly, banking and securities activities performed electronically are also subject to the  three entities charged with the regulation and supervision of banks and all other financial institutions, as well as its respective activities, namely: (i) the Brazilian Monetary Council (Conselho Monetário Nacional - CMN); (ii) the Central Bank of Brazil; and (iii) the Brazilian Securities Commission (Comissão de Valores Mobiliários – CVM) with respect to securities activities.  </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The CMN is the plenary agency created by the Banking Law charged with overall formulation of economic and financial policy, including monetary, credit and public debit policies.</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 xml:space="preserve">The Central Bank, also created by the Banking Law, is responsible for the execution of monetary policy and is empowered, when authorized by the National Monetary Council, to control all public and private financial institution forming part of domestic financial system, and, in particular, to authorize their functioning and to supervise their operation, transformations, consolidations and mergers. </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 xml:space="preserve">The Securities Commission (CVM) is charged with implementation of policies pertaining to the organization and operation of the securities industry. Accordingly, its responsibilities encompass the regulation and supervision of all securities activities, including: (i) the issuance, distribution and trading of securities; (ii) organization and functioning of the stock exchanges; and (iii) practices in the management of securities portfolios and their custody. </w:t>
      </w:r>
    </w:p>
    <w:p>
      <w:pPr>
        <w:pStyle w:val="BodyText"/>
        <w:tabs>
          <w:tab w:val="clear" w:pos="720"/>
          <w:tab w:val="left" w:pos="0" w:leader="none"/>
        </w:tabs>
        <w:rPr>
          <w:rFonts w:ascii="Garamond" w:hAnsi="Garamond" w:cs="Garamond"/>
          <w:sz w:val="26"/>
        </w:rPr>
      </w:pPr>
      <w:r>
        <w:rPr>
          <w:rFonts w:cs="Garamond" w:ascii="Garamond" w:hAnsi="Garamond"/>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Do any specific laws or regulations exist in your jurisdiction which would prevent or in any way impact upon marketing or trading of any of the products set out in question 10.1 above through the Internet?  In answering this question please address issues relating to contractual formation and enforceability of contracts entered into via the Internet.  In particular, if a transaction entered into via the Internet is enforceable under U.S. or U.K. law and the transactions contain a choice of such law, will such transactions, including the choice of law, be enforceable in your jurisdiction?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Normal"/>
        <w:ind w:start="720" w:end="0"/>
        <w:jc w:val="both"/>
        <w:rPr>
          <w:rFonts w:ascii="Garamond" w:hAnsi="Garamond" w:cs="Garamond"/>
          <w:sz w:val="26"/>
          <w:lang w:eastAsia="pt-BR"/>
        </w:rPr>
      </w:pPr>
      <w:r>
        <w:rPr>
          <w:rFonts w:cs="Garamond" w:ascii="Garamond" w:hAnsi="Garamond"/>
          <w:sz w:val="26"/>
          <w:lang w:eastAsia="pt-BR"/>
        </w:rPr>
        <w:t>As commented in question 9.1 above, there are several regulations which materially impact on the trading of products through the Internet in Brazil. As regards contract formation and enforceability, please refer to our comments on question 2.1 above, and with regard to choice of law enforceability, please refer to our comments on question 1 above.</w:t>
      </w:r>
    </w:p>
    <w:p>
      <w:pPr>
        <w:pStyle w:val="BodyTextIndent"/>
        <w:tabs>
          <w:tab w:val="clear" w:pos="720"/>
          <w:tab w:val="left" w:pos="0" w:leader="none"/>
        </w:tabs>
        <w:ind w:start="0" w:end="0"/>
        <w:jc w:val="both"/>
        <w:rPr>
          <w:rFonts w:ascii="Garamond" w:hAnsi="Garamond" w:cs="Garamond"/>
          <w:sz w:val="26"/>
          <w:lang w:eastAsia="pt-BR"/>
        </w:rPr>
      </w:pPr>
      <w:r>
        <w:rPr>
          <w:rFonts w:cs="Garamond" w:ascii="Garamond" w:hAnsi="Garamond"/>
          <w:sz w:val="26"/>
          <w:lang w:eastAsia="pt-BR"/>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If the answer to either of question 10.1 or 10.2 is "yes", please indicate whether the impact of any relevant statements, laws or regulations will differ depending upon whether (a) the relevant Internet site is maintained in your jurisdiction or elsewhere; or (b) the party effecting the marketing/trading through the Internet is locally licensed.</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spacing w:before="240" w:after="0"/>
        <w:jc w:val="both"/>
        <w:rPr>
          <w:rFonts w:ascii="Garamond" w:hAnsi="Garamond" w:cs="Garamond"/>
          <w:sz w:val="26"/>
        </w:rPr>
      </w:pPr>
      <w:r>
        <w:rPr>
          <w:rFonts w:cs="Garamond" w:ascii="Garamond" w:hAnsi="Garamond"/>
          <w:sz w:val="26"/>
        </w:rPr>
        <w:t xml:space="preserve">As commented above, we understand that the marketing or trading of any products above through internet should be carried out by a Brazilian financial institution, if such products are marketed to Brazilians. In the event that the site is maintained by a Brazilian financial institution, we understand that the transactions in caption may be carried out through internet in Brazil. On the other hand, if the site is maintained by a non-Brazilian entity, there should be no marketing of the products in Brazil. </w:t>
      </w:r>
    </w:p>
    <w:p>
      <w:pPr>
        <w:pStyle w:val="BodyTextIndent"/>
        <w:spacing w:before="240" w:after="0"/>
        <w:jc w:val="both"/>
        <w:rPr>
          <w:rFonts w:ascii="Garamond" w:hAnsi="Garamond" w:cs="Garamond"/>
          <w:sz w:val="26"/>
        </w:rPr>
      </w:pPr>
      <w:r>
        <w:rPr>
          <w:rFonts w:cs="Garamond" w:ascii="Garamond" w:hAnsi="Garamond"/>
          <w:sz w:val="26"/>
        </w:rPr>
        <w:t xml:space="preserve">Please note that  the comments regarding contractual formation questions will be forwarded to you in due course, as mentioned above (notwithstanding, we inform you that the choice of law should be enforceable in Brazil, as long as one of the parties is not a Brazilian entity). </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Please confirm that by marketing to or trading with counterparts in your jurisdiction via the Internet local relevant regulatory bodies/local laws or regulations will not consider the party maintaining the relevant website to have established a physical establishment/branch in your jurisdiction.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spacing w:before="240" w:after="0"/>
        <w:jc w:val="both"/>
        <w:rPr>
          <w:rFonts w:ascii="Garamond" w:hAnsi="Garamond" w:cs="Garamond"/>
          <w:sz w:val="26"/>
        </w:rPr>
      </w:pPr>
      <w:r>
        <w:rPr>
          <w:rFonts w:cs="Garamond" w:ascii="Garamond" w:hAnsi="Garamond"/>
          <w:sz w:val="26"/>
        </w:rPr>
        <w:t xml:space="preserve">Assuming that, in your example, the party maintaining the relevant website does not have a physical establishment/branch in our jurisdiction, we understand that it is unlikely that the Brazilian tax authorities consider doing business in Brazil, as long as the transactions are not closed in Brazil. It is important to highlight that the key issue here is that any transaction be completed outside Brazil. Offers may be privately made to the Brazilian resident through Internet mail, fax or telephone, or even in a visit to the Brazilian resident. This caution is recommended so that the local authorities cannot allege that the foreign company is doing business in Brazil, without adequate authorization.  </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firstLine="720" w:end="0"/>
        <w:jc w:val="both"/>
        <w:rPr>
          <w:rFonts w:ascii="Garamond" w:hAnsi="Garamond" w:cs="Garamond"/>
          <w:sz w:val="26"/>
        </w:rPr>
      </w:pPr>
      <w:r>
        <w:rPr>
          <w:rFonts w:cs="Garamond" w:ascii="Garamond" w:hAnsi="Garamond"/>
          <w:sz w:val="26"/>
        </w:rPr>
        <w:t>A company that does business in Brazil will be subject to the following:</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1440" w:end="0"/>
        <w:jc w:val="both"/>
        <w:rPr>
          <w:rFonts w:ascii="Garamond" w:hAnsi="Garamond" w:cs="Garamond"/>
          <w:sz w:val="26"/>
        </w:rPr>
      </w:pPr>
      <w:r>
        <w:rPr>
          <w:rFonts w:cs="Garamond" w:ascii="Garamond" w:hAnsi="Garamond"/>
          <w:sz w:val="26"/>
        </w:rPr>
        <w:t>(i)</w:t>
        <w:tab/>
        <w:t>payment of taxes in Brazil with respect to profits generated by the activity. Should the company not keep proper accounting, the taxable income will be presumed to be a given percentage of the value of these activities;</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1440" w:end="0"/>
        <w:jc w:val="both"/>
        <w:rPr>
          <w:rFonts w:ascii="Garamond" w:hAnsi="Garamond" w:cs="Garamond"/>
          <w:sz w:val="26"/>
        </w:rPr>
      </w:pPr>
      <w:r>
        <w:rPr>
          <w:rFonts w:cs="Garamond" w:ascii="Garamond" w:hAnsi="Garamond"/>
          <w:sz w:val="26"/>
        </w:rPr>
        <w:t>(ii)</w:t>
        <w:tab/>
        <w:t>compliance with applicable laws and regulations having regard to the nature of the business activity.</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The concept of doing business in Brazil was developed as part of Brazil's tax legislation, applicable primarily to the case of foreign companies that keep an agent in Brazil to effect sales, such agent having the power to bind the foreign company and enter into valid sale and purchase agreements.</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 xml:space="preserve">A company would also be considered to be doing business in Brazil if the transaction  agreement or other application documentation were signed in Brazil (as opposed to being signed abroad). </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 xml:space="preserve">Therefore, provided that the actual transaction shall be made outside Brazil, using funds which are also deposited in accounts kept with foreign banks (the funds in these accounts may be funds legitimately received abroad, as discussed above, or funds remitted from Brazil using the mechanism of international transfer in local currency), local law does not interfere in the transaction. It is possible that Brazilian residents give a power of attorney to a person domiciled abroad granting powers to the attorney-in-fact for purposes of executing documents in connection with the transaction outside Brazil.. </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/mnt/main-storage/datasets/enron-docs/doc/enron_question.doc</w:t>
    </w:r>
    <w:r>
      <w:rPr>
        <w:sz w:val="16"/>
      </w:rPr>
      <w:fldChar w:fldCharType="end"/>
    </w:r>
  </w:p>
  <w:p>
    <w:pPr>
      <w:pStyle w:val="Footer"/>
      <w:jc w:val="center"/>
      <w:rPr>
        <w:rStyle w:val="PageNumber"/>
        <w:sz w:val="16"/>
      </w:rPr>
    </w:pPr>
    <w:r>
      <w:rPr>
        <w:sz w:val="16"/>
      </w:rPr>
    </w:r>
  </w:p>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720"/>
        </w:tabs>
        <w:ind w:start="720" w:hanging="720"/>
      </w:pPr>
      <w:rPr/>
    </w:lvl>
    <w:lvl w:ilvl="1">
      <w:start w:val="1"/>
      <w:isLgl/>
      <w:numFmt w:val="decimal"/>
      <w:lvlText w:val="%1.%2"/>
      <w:lvlJc w:val="start"/>
      <w:pPr>
        <w:tabs>
          <w:tab w:val="num" w:pos="720"/>
        </w:tabs>
        <w:ind w:start="720" w:hanging="720"/>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720"/>
        </w:tabs>
        <w:ind w:start="720" w:hanging="72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080"/>
        </w:tabs>
        <w:ind w:start="1080" w:hanging="1080"/>
      </w:pPr>
      <w:rPr>
        <w:b/>
      </w:rPr>
    </w:lvl>
    <w:lvl w:ilvl="7">
      <w:start w:val="1"/>
      <w:isLgl/>
      <w:numFmt w:val="decimal"/>
      <w:lvlText w:val="%1.%2.%3.%4.%5.%6.%7.%8"/>
      <w:lvlJc w:val="start"/>
      <w:pPr>
        <w:tabs>
          <w:tab w:val="num" w:pos="1440"/>
        </w:tabs>
        <w:ind w:start="1440" w:hanging="1440"/>
      </w:pPr>
      <w:rPr>
        <w:b/>
      </w:rPr>
    </w:lvl>
    <w:lvl w:ilvl="8">
      <w:start w:val="1"/>
      <w:isLgl/>
      <w:numFmt w:val="decimal"/>
      <w:lvlText w:val="%1.%2.%3.%4.%5.%6.%7.%8.%9"/>
      <w:lvlJc w:val="start"/>
      <w:pPr>
        <w:tabs>
          <w:tab w:val="num" w:pos="1440"/>
        </w:tabs>
        <w:ind w:start="1440" w:hanging="1440"/>
      </w:pPr>
      <w:rPr>
        <w:b/>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bCs/>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6z1">
    <w:name w:val="WW8Num6z1"/>
    <w:qFormat/>
    <w:rPr>
      <w:b/>
    </w:rPr>
  </w:style>
  <w:style w:type="character" w:styleId="Fontepargpadro">
    <w:name w:val="Fonte parág. padrão"/>
    <w:qFormat/>
    <w:rPr/>
  </w:style>
  <w:style w:type="character" w:styleId="PageNumber">
    <w:name w:val="page number"/>
    <w:basedOn w:val="Fontepargpadro"/>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2000-05-26T16:35:00Z</dcterms:created>
  <dc:creator>Taffy Milligan</dc:creator>
  <dc:description/>
  <dc:language>en-CA</dc:language>
  <cp:lastModifiedBy>Pinheiro Neto - Advogados</cp:lastModifiedBy>
  <cp:lastPrinted>2000-05-26T18:12:00Z</cp:lastPrinted>
  <dcterms:modified xsi:type="dcterms:W3CDTF">2000-05-26T21:05:00Z</dcterms:modified>
  <cp:revision>16</cp:revision>
  <dc:subject/>
  <dc:title>Enron Europe Limited – Internet Trading</dc:title>
</cp:coreProperties>
</file>