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ISDA MASTER AGREEMENT</w:t>
      </w:r>
    </w:p>
    <w:p>
      <w:pPr>
        <w:pStyle w:val="Normal"/>
        <w:jc w:val="center"/>
        <w:rPr>
          <w:b/>
        </w:rPr>
      </w:pPr>
      <w:r>
        <w:rPr>
          <w:b/>
        </w:rPr>
        <w:t>PG&amp;E/ENA</w:t>
      </w:r>
    </w:p>
    <w:p>
      <w:pPr>
        <w:pStyle w:val="Normal"/>
        <w:jc w:val="center"/>
        <w:rPr>
          <w:b/>
        </w:rPr>
      </w:pPr>
      <w:r>
        <w:rPr>
          <w:b/>
        </w:rPr>
        <w:t>May 15, 2000</w:t>
      </w:r>
    </w:p>
    <w:p>
      <w:pPr>
        <w:pStyle w:val="Normal"/>
        <w:rPr>
          <w:b/>
        </w:rPr>
      </w:pPr>
      <w:r>
        <w:rPr>
          <w:b/>
        </w:rPr>
      </w:r>
    </w:p>
    <w:tbl>
      <w:tblPr>
        <w:tblW w:w="17310" w:type="dxa"/>
        <w:jc w:val="start"/>
        <w:tblInd w:w="0" w:type="dxa"/>
        <w:tblLayout w:type="fixed"/>
        <w:tblCellMar>
          <w:top w:w="0" w:type="dxa"/>
          <w:start w:w="30" w:type="dxa"/>
          <w:bottom w:w="0" w:type="dxa"/>
          <w:end w:w="30" w:type="dxa"/>
        </w:tblCellMar>
      </w:tblPr>
      <w:tblGrid>
        <w:gridCol w:w="3462"/>
        <w:gridCol w:w="3462"/>
        <w:gridCol w:w="3462"/>
        <w:gridCol w:w="3462"/>
        <w:gridCol w:w="3462"/>
      </w:tblGrid>
      <w:tr>
        <w:trPr>
          <w:tblHeader w:val="true"/>
          <w:trHeight w:val="804" w:hRule="atLeast"/>
        </w:trPr>
        <w:tc>
          <w:tcPr>
            <w:tcW w:w="3462"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p>
            <w:pPr>
              <w:pStyle w:val="Normal"/>
              <w:jc w:val="center"/>
              <w:rPr>
                <w:rFonts w:ascii="Arial" w:hAnsi="Arial" w:cs="Arial"/>
                <w:b/>
                <w:color w:val="000000"/>
                <w:sz w:val="16"/>
                <w:lang w:eastAsia="en-US"/>
              </w:rPr>
            </w:pPr>
            <w:r>
              <w:rPr>
                <w:rFonts w:cs="Arial" w:ascii="Arial" w:hAnsi="Arial"/>
                <w:b/>
                <w:color w:val="000000"/>
                <w:sz w:val="16"/>
                <w:lang w:eastAsia="en-US"/>
              </w:rPr>
              <w:t xml:space="preserve">Events of Default </w:t>
            </w:r>
          </w:p>
          <w:p>
            <w:pPr>
              <w:pStyle w:val="Normal"/>
              <w:jc w:val="center"/>
              <w:rPr>
                <w:rFonts w:ascii="Arial" w:hAnsi="Arial" w:cs="Arial"/>
                <w:b/>
                <w:color w:val="000000"/>
                <w:sz w:val="16"/>
                <w:lang w:eastAsia="en-US"/>
              </w:rPr>
            </w:pPr>
            <w:r>
              <w:rPr>
                <w:rFonts w:cs="Arial" w:ascii="Arial" w:hAnsi="Arial"/>
                <w:b/>
                <w:color w:val="000000"/>
                <w:sz w:val="16"/>
                <w:lang w:eastAsia="en-US"/>
              </w:rPr>
              <w:t>(EoD)</w:t>
            </w:r>
          </w:p>
        </w:tc>
        <w:tc>
          <w:tcPr>
            <w:tcW w:w="3462"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p>
            <w:pPr>
              <w:pStyle w:val="Normal"/>
              <w:jc w:val="center"/>
              <w:rPr>
                <w:rFonts w:ascii="Arial" w:hAnsi="Arial" w:cs="Arial"/>
                <w:b/>
                <w:color w:val="000000"/>
                <w:sz w:val="16"/>
                <w:lang w:eastAsia="en-US"/>
              </w:rPr>
            </w:pPr>
            <w:r>
              <w:rPr>
                <w:rFonts w:cs="Arial" w:ascii="Arial" w:hAnsi="Arial"/>
                <w:b/>
                <w:color w:val="000000"/>
                <w:sz w:val="16"/>
                <w:lang w:eastAsia="en-US"/>
              </w:rPr>
              <w:t>Notice</w:t>
            </w:r>
          </w:p>
          <w:p>
            <w:pPr>
              <w:pStyle w:val="Normal"/>
              <w:jc w:val="center"/>
              <w:rPr>
                <w:rFonts w:ascii="Arial" w:hAnsi="Arial" w:cs="Arial"/>
                <w:b/>
                <w:color w:val="000000"/>
                <w:sz w:val="16"/>
                <w:lang w:eastAsia="en-US"/>
              </w:rPr>
            </w:pPr>
            <w:r>
              <w:rPr>
                <w:rFonts w:eastAsia="Arial" w:cs="Arial" w:ascii="Arial" w:hAnsi="Arial"/>
                <w:b/>
                <w:color w:val="000000"/>
                <w:sz w:val="16"/>
                <w:lang w:eastAsia="en-US"/>
              </w:rPr>
              <w:t xml:space="preserve"> </w:t>
            </w:r>
            <w:r>
              <w:rPr>
                <w:rFonts w:cs="Arial" w:ascii="Arial" w:hAnsi="Arial"/>
                <w:b/>
                <w:color w:val="000000"/>
                <w:sz w:val="16"/>
                <w:lang w:eastAsia="en-US"/>
              </w:rPr>
              <w:t>Procedures</w:t>
            </w:r>
          </w:p>
        </w:tc>
        <w:tc>
          <w:tcPr>
            <w:tcW w:w="3462"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p>
            <w:pPr>
              <w:pStyle w:val="Normal"/>
              <w:jc w:val="center"/>
              <w:rPr>
                <w:rFonts w:ascii="Arial" w:hAnsi="Arial" w:cs="Arial"/>
                <w:b/>
                <w:color w:val="000000"/>
                <w:sz w:val="16"/>
                <w:lang w:eastAsia="en-US"/>
              </w:rPr>
            </w:pPr>
            <w:r>
              <w:rPr>
                <w:rFonts w:cs="Arial" w:ascii="Arial" w:hAnsi="Arial"/>
                <w:b/>
                <w:color w:val="000000"/>
                <w:sz w:val="16"/>
                <w:lang w:eastAsia="en-US"/>
              </w:rPr>
              <w:t>Termination</w:t>
            </w:r>
          </w:p>
          <w:p>
            <w:pPr>
              <w:pStyle w:val="Normal"/>
              <w:jc w:val="center"/>
              <w:rPr>
                <w:rFonts w:ascii="Arial" w:hAnsi="Arial" w:cs="Arial"/>
                <w:b/>
                <w:color w:val="000000"/>
                <w:sz w:val="16"/>
                <w:lang w:eastAsia="en-US"/>
              </w:rPr>
            </w:pPr>
            <w:r>
              <w:rPr>
                <w:rFonts w:cs="Arial" w:ascii="Arial" w:hAnsi="Arial"/>
                <w:b/>
                <w:color w:val="000000"/>
                <w:sz w:val="16"/>
                <w:lang w:eastAsia="en-US"/>
              </w:rPr>
              <w:t>Procedures</w:t>
            </w:r>
          </w:p>
          <w:p>
            <w:pPr>
              <w:pStyle w:val="Normal"/>
              <w:jc w:val="center"/>
              <w:rPr>
                <w:rFonts w:ascii="Arial" w:hAnsi="Arial" w:cs="Arial"/>
                <w:b/>
                <w:color w:val="000000"/>
                <w:sz w:val="16"/>
                <w:lang w:eastAsia="en-US"/>
              </w:rPr>
            </w:pPr>
            <w:r>
              <w:rPr>
                <w:rFonts w:cs="Arial" w:ascii="Arial" w:hAnsi="Arial"/>
                <w:b/>
                <w:color w:val="000000"/>
                <w:sz w:val="16"/>
                <w:lang w:eastAsia="en-US"/>
              </w:rPr>
            </w:r>
          </w:p>
        </w:tc>
        <w:tc>
          <w:tcPr>
            <w:tcW w:w="3462"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p>
            <w:pPr>
              <w:pStyle w:val="Normal"/>
              <w:jc w:val="center"/>
              <w:rPr>
                <w:rFonts w:ascii="Arial" w:hAnsi="Arial" w:cs="Arial"/>
                <w:b/>
                <w:color w:val="000000"/>
                <w:sz w:val="16"/>
                <w:lang w:eastAsia="en-US"/>
              </w:rPr>
            </w:pPr>
            <w:r>
              <w:rPr>
                <w:rFonts w:cs="Arial" w:ascii="Arial" w:hAnsi="Arial"/>
                <w:b/>
                <w:color w:val="000000"/>
                <w:sz w:val="16"/>
                <w:lang w:eastAsia="en-US"/>
              </w:rPr>
              <w:t>Netting/Set-off</w:t>
            </w:r>
          </w:p>
          <w:p>
            <w:pPr>
              <w:pStyle w:val="Normal"/>
              <w:jc w:val="center"/>
              <w:rPr>
                <w:rFonts w:ascii="Arial" w:hAnsi="Arial" w:cs="Arial"/>
                <w:b/>
                <w:color w:val="000000"/>
                <w:sz w:val="16"/>
                <w:lang w:eastAsia="en-US"/>
              </w:rPr>
            </w:pPr>
            <w:r>
              <w:rPr>
                <w:rFonts w:cs="Arial" w:ascii="Arial" w:hAnsi="Arial"/>
                <w:b/>
                <w:color w:val="000000"/>
                <w:sz w:val="16"/>
                <w:lang w:eastAsia="en-US"/>
              </w:rPr>
              <w:t>Pre-Default</w:t>
            </w:r>
          </w:p>
        </w:tc>
        <w:tc>
          <w:tcPr>
            <w:tcW w:w="3462"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p>
            <w:pPr>
              <w:pStyle w:val="Normal"/>
              <w:jc w:val="center"/>
              <w:rPr>
                <w:rFonts w:ascii="Arial" w:hAnsi="Arial" w:cs="Arial"/>
                <w:b/>
                <w:color w:val="000000"/>
                <w:sz w:val="16"/>
                <w:lang w:eastAsia="en-US"/>
              </w:rPr>
            </w:pPr>
            <w:r>
              <w:rPr>
                <w:rFonts w:cs="Arial" w:ascii="Arial" w:hAnsi="Arial"/>
                <w:b/>
                <w:color w:val="000000"/>
                <w:sz w:val="16"/>
                <w:lang w:eastAsia="en-US"/>
              </w:rPr>
              <w:t>Netting/Set-off</w:t>
            </w:r>
          </w:p>
          <w:p>
            <w:pPr>
              <w:pStyle w:val="Normal"/>
              <w:jc w:val="center"/>
              <w:rPr>
                <w:rFonts w:ascii="Arial" w:hAnsi="Arial" w:cs="Arial"/>
                <w:b/>
                <w:color w:val="000000"/>
                <w:sz w:val="16"/>
                <w:lang w:eastAsia="en-US"/>
              </w:rPr>
            </w:pPr>
            <w:r>
              <w:rPr>
                <w:rFonts w:cs="Arial" w:ascii="Arial" w:hAnsi="Arial"/>
                <w:b/>
                <w:color w:val="000000"/>
                <w:sz w:val="16"/>
                <w:lang w:eastAsia="en-US"/>
              </w:rPr>
              <w:t>Post-Default</w:t>
            </w:r>
          </w:p>
        </w:tc>
      </w:tr>
      <w:tr>
        <w:trPr>
          <w:trHeight w:val="3571" w:hRule="atLeast"/>
        </w:trPr>
        <w:tc>
          <w:tcPr>
            <w:tcW w:w="346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1.  Failure to make when due, any payment required to be made if such failure is not cured on or before the third business day after notice of the failure is given to the non-paying party.</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t>2.  A party (i) becomes insolvent or is unable to pay its debts or fails or admits in writing its inability generally to pay its debts as they become due; (ii) initiates a proceeding under any bankruptcy or insolvency law (iii) or other  provisions of similar effect.</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t xml:space="preserve">3.  Failure by any party to perform any agreement or obligation under Agreement  (other than payment obligation, certain matters related to tax issues and charging accounts) if such failure not cured within 30 days after notice is given.  </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t>4.  A default by a party under one or more agreements relating to borrowed money ("Specified Indebtedness") in an aggregate amount not less than $100 million ("Threshold Amount") which has resulted in the obligation becoming due and payable, or with party failing to make payments in an aggregate amount of $100 million on borrowed money, after giving effect to notice requirements and grace periods.</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t>5.  Other Events of Default include</w:t>
            </w:r>
          </w:p>
          <w:p>
            <w:pPr>
              <w:pStyle w:val="Normal"/>
              <w:rPr>
                <w:rFonts w:ascii="Arial" w:hAnsi="Arial" w:cs="Arial"/>
                <w:color w:val="000000"/>
                <w:sz w:val="16"/>
                <w:lang w:eastAsia="en-US"/>
              </w:rPr>
            </w:pPr>
            <w:r>
              <w:rPr>
                <w:rFonts w:cs="Arial" w:ascii="Arial" w:hAnsi="Arial"/>
                <w:color w:val="000000"/>
                <w:sz w:val="16"/>
                <w:lang w:eastAsia="en-US"/>
              </w:rPr>
              <w:t>a)  Merger Without Assumptions</w:t>
            </w:r>
          </w:p>
          <w:p>
            <w:pPr>
              <w:pStyle w:val="Normal"/>
              <w:rPr>
                <w:rFonts w:ascii="Arial" w:hAnsi="Arial" w:cs="Arial"/>
                <w:color w:val="000000"/>
                <w:sz w:val="16"/>
                <w:lang w:eastAsia="en-US"/>
              </w:rPr>
            </w:pPr>
            <w:r>
              <w:rPr>
                <w:rFonts w:cs="Arial" w:ascii="Arial" w:hAnsi="Arial"/>
                <w:color w:val="000000"/>
                <w:sz w:val="16"/>
                <w:lang w:eastAsia="en-US"/>
              </w:rPr>
              <w:t>b)  Misrepresentation</w:t>
            </w:r>
          </w:p>
          <w:p>
            <w:pPr>
              <w:pStyle w:val="Normal"/>
              <w:rPr>
                <w:rFonts w:ascii="Arial" w:hAnsi="Arial" w:cs="Arial"/>
                <w:color w:val="000000"/>
                <w:sz w:val="16"/>
                <w:lang w:eastAsia="en-US"/>
              </w:rPr>
            </w:pPr>
            <w:r>
              <w:rPr>
                <w:rFonts w:cs="Arial" w:ascii="Arial" w:hAnsi="Arial"/>
                <w:color w:val="000000"/>
                <w:sz w:val="16"/>
                <w:lang w:eastAsia="en-US"/>
              </w:rPr>
              <w:t>c)  Default under Specified Transaction</w:t>
            </w:r>
          </w:p>
          <w:p>
            <w:pPr>
              <w:pStyle w:val="Normal"/>
              <w:rPr>
                <w:rFonts w:ascii="Arial" w:hAnsi="Arial" w:cs="Arial"/>
                <w:color w:val="000000"/>
                <w:sz w:val="16"/>
                <w:lang w:eastAsia="en-US"/>
              </w:rPr>
            </w:pPr>
            <w:r>
              <w:rPr>
                <w:rFonts w:cs="Arial" w:ascii="Arial" w:hAnsi="Arial"/>
                <w:color w:val="000000"/>
                <w:sz w:val="16"/>
                <w:lang w:eastAsia="en-US"/>
              </w:rPr>
              <w:t>d)  Failure to Post  Collateral</w:t>
            </w:r>
          </w:p>
        </w:tc>
        <w:tc>
          <w:tcPr>
            <w:tcW w:w="346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1.  Notice provisions on Event of Default (Section 6(a))</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t>a)  Specify relevant Event of Default</w:t>
            </w:r>
          </w:p>
          <w:p>
            <w:pPr>
              <w:pStyle w:val="Normal"/>
              <w:rPr>
                <w:rFonts w:ascii="Arial" w:hAnsi="Arial" w:cs="Arial"/>
                <w:color w:val="000000"/>
                <w:sz w:val="16"/>
                <w:lang w:eastAsia="en-US"/>
              </w:rPr>
            </w:pPr>
            <w:r>
              <w:rPr>
                <w:rFonts w:cs="Arial" w:ascii="Arial" w:hAnsi="Arial"/>
                <w:color w:val="000000"/>
                <w:sz w:val="16"/>
                <w:lang w:eastAsia="en-US"/>
              </w:rPr>
              <w:t>b)  Designate an Early Termination Date (ETD)</w:t>
            </w:r>
          </w:p>
          <w:p>
            <w:pPr>
              <w:pStyle w:val="Normal"/>
              <w:rPr>
                <w:rFonts w:ascii="Arial" w:hAnsi="Arial" w:cs="Arial"/>
                <w:color w:val="000000"/>
                <w:sz w:val="16"/>
                <w:lang w:eastAsia="en-US"/>
              </w:rPr>
            </w:pPr>
            <w:r>
              <w:rPr>
                <w:rFonts w:cs="Arial" w:ascii="Arial" w:hAnsi="Arial"/>
                <w:color w:val="000000"/>
                <w:sz w:val="16"/>
                <w:lang w:eastAsia="en-US"/>
              </w:rPr>
              <w:t>c)  ETD not more than 20 days after notice to defaulting party.</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t>2.  Notice cannot be given by facsimile or e-mail (Section 12(a)).  Can be given by:</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t>a)  writing delivered by person or by courier effective on date delivered.</w:t>
            </w:r>
          </w:p>
          <w:p>
            <w:pPr>
              <w:pStyle w:val="Normal"/>
              <w:rPr>
                <w:rFonts w:ascii="Arial" w:hAnsi="Arial" w:cs="Arial"/>
                <w:color w:val="000000"/>
                <w:sz w:val="16"/>
                <w:lang w:eastAsia="en-US"/>
              </w:rPr>
            </w:pPr>
            <w:r>
              <w:rPr>
                <w:rFonts w:cs="Arial" w:ascii="Arial" w:hAnsi="Arial"/>
                <w:color w:val="000000"/>
                <w:sz w:val="16"/>
                <w:lang w:eastAsia="en-US"/>
              </w:rPr>
              <w:t>b)  by certified or registered mail, effective when delivered, or delivery attempted.</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t>Notice Address (from Schedule)</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t>Overnight delivery:</w:t>
            </w:r>
          </w:p>
          <w:p>
            <w:pPr>
              <w:pStyle w:val="Normal"/>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Pacific Gas and Electric Company</w:t>
            </w:r>
          </w:p>
          <w:p>
            <w:pPr>
              <w:pStyle w:val="Normal"/>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Mail Code B7A</w:t>
            </w:r>
          </w:p>
          <w:p>
            <w:pPr>
              <w:pStyle w:val="Normal"/>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77 Beale Street, Room 727C</w:t>
            </w:r>
          </w:p>
          <w:p>
            <w:pPr>
              <w:pStyle w:val="Normal"/>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San Francisco, CA  94105</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Attn:  Risk Management Accounting</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t>For U.S. mail:</w:t>
            </w:r>
          </w:p>
          <w:p>
            <w:pPr>
              <w:pStyle w:val="Normal"/>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Pacific Gas and Electric Company</w:t>
            </w:r>
          </w:p>
          <w:p>
            <w:pPr>
              <w:pStyle w:val="Normal"/>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Mail Code B7A</w:t>
            </w:r>
          </w:p>
          <w:p>
            <w:pPr>
              <w:pStyle w:val="Normal"/>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San Francisco, CA  94177</w:t>
            </w:r>
          </w:p>
          <w:p>
            <w:pPr>
              <w:pStyle w:val="Normal"/>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Attn:  Risk Management Accounting</w:t>
            </w:r>
          </w:p>
        </w:tc>
        <w:tc>
          <w:tcPr>
            <w:tcW w:w="346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If termination results from Event of Default:</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t>1.  Market Quotation and Second Method adopted for transactions with a term of 2 years or less on ETD.</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t>2. Loss and Second Method adopted for other transactions (there appear to be none of these).</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t>3.  If the transaction is two years or less (all of them are) then the defaulting party ("DP") pays the non-defaulting party ("NDP") the difference between the Settlement Amount plus any other unpaid amounts under Terminated Transactions (“TT”) owed to the NDP less any unpaid amounts under TT”s owing to the DP .</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t>4.  If the number determined from the above is positive DP owes that amount to NDP.  If the number is negative that amount is owed by NDP to DP.</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t>5.  Payments are subject to any set-off.</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t>6.  "Settlement Amount” means the sum of the Market Quotation for each TT plus the Loss determined for each TT for which a Market Quotation cannot be determined.  “Market Quotation” means the mean of more than three quotes, after dropping the highest and lowest, (if there are only three quotes, then the middle quote is used) obtained from Reference Market-makers.  Each quote will be a number, (negative if it would be paid by the party and positive if paid to the party) that would represent the consideration for a replacement agreement for each TT with similar Credit Support Documents. The quotation to be as of the ETD, or as soon after ETD, as reasonably practicable.</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t>7.  Reference Market-maker means four leading dealers selected from dealers with the highest credit rating with offices in the same city, to the extent practicable.</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t>8.  As soon as reasonably practicable after the occurrence of an ETD, each party will make the calculations on its part and provide a statement to the other party:</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t>a)  Showing in reasonable detail the calculations and specifying the amount payable.</w:t>
            </w:r>
          </w:p>
          <w:p>
            <w:pPr>
              <w:pStyle w:val="Normal"/>
              <w:rPr>
                <w:rFonts w:ascii="Arial" w:hAnsi="Arial" w:cs="Arial"/>
                <w:color w:val="000000"/>
                <w:sz w:val="16"/>
                <w:lang w:eastAsia="en-US"/>
              </w:rPr>
            </w:pPr>
            <w:r>
              <w:rPr>
                <w:rFonts w:cs="Arial" w:ascii="Arial" w:hAnsi="Arial"/>
                <w:color w:val="000000"/>
                <w:sz w:val="16"/>
                <w:lang w:eastAsia="en-US"/>
              </w:rPr>
              <w:t>b)  Providing details of the account to which any payment is to be made.</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t>9.  Payment due on date notice of amount payable effective.</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t>10.  Payment includes calculated amount plus interest from the ETD to payment at the rate of the payee to fund the payment plan one percent per annum.</w:t>
            </w:r>
          </w:p>
        </w:tc>
        <w:tc>
          <w:tcPr>
            <w:tcW w:w="346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Netting of payments on transactions on same date and with the same department of PG&amp;E, but not with different departments.</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t>No other set-off rights pre-termination.  "All payments made without set-off or counterclaim."</w:t>
            </w:r>
          </w:p>
        </w:tc>
        <w:tc>
          <w:tcPr>
            <w:tcW w:w="346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1.  "Set-off" defined as "set-off, offset, combinations of accounts, right of retention or withholding or similar right to requirement to which the payer of an amount under Section 6 is entitled or subject (whether arising under this Agreement, another contract, applicable law or otherwise) that is exercised by, or imposed on, such payor.</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t>2.  Section 6(e) provides all payments due because of an ETD are subject to any set-off.</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pPr>
            <w:r>
              <w:rPr>
                <w:rFonts w:cs="Arial" w:ascii="Arial" w:hAnsi="Arial"/>
                <w:color w:val="000000"/>
                <w:sz w:val="16"/>
                <w:lang w:eastAsia="en-US"/>
              </w:rPr>
              <w:t xml:space="preserve">3.  Upon designation of any ETD the NDP can set-off matured or unmatured obligations owed by DP against </w:t>
            </w:r>
            <w:r>
              <w:rPr>
                <w:rFonts w:cs="Arial" w:ascii="Arial" w:hAnsi="Arial"/>
                <w:color w:val="000000"/>
                <w:sz w:val="16"/>
                <w:u w:val="single"/>
                <w:lang w:eastAsia="en-US"/>
              </w:rPr>
              <w:t>any</w:t>
            </w:r>
            <w:r>
              <w:rPr>
                <w:rFonts w:cs="Arial" w:ascii="Arial" w:hAnsi="Arial"/>
                <w:color w:val="000000"/>
                <w:sz w:val="16"/>
                <w:lang w:eastAsia="en-US"/>
              </w:rPr>
              <w:t xml:space="preserve"> obligation, matured or unmatured, owed by NDP to DP.</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t>4.  NDP can estimate undetermined sums for set-off, subject to an accounting.</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t>5.  NDP party shall give notice that set-off effected as soon as practicable.</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pPr>
            <w:r>
              <w:rPr>
                <w:rFonts w:cs="Arial" w:ascii="Arial" w:hAnsi="Arial"/>
                <w:color w:val="000000"/>
                <w:sz w:val="16"/>
                <w:lang w:eastAsia="en-US"/>
              </w:rPr>
              <w:t xml:space="preserve">6.  NDP is not required to pay DP any amounts due under Section 6(e) until DP performs all obligations "due and payable" to NDP </w:t>
            </w:r>
            <w:r>
              <w:rPr>
                <w:rFonts w:cs="Arial" w:ascii="Arial" w:hAnsi="Arial"/>
                <w:color w:val="000000"/>
                <w:sz w:val="16"/>
                <w:u w:val="single"/>
                <w:lang w:eastAsia="en-US"/>
              </w:rPr>
              <w:t>on ETD</w:t>
            </w:r>
            <w:r>
              <w:rPr>
                <w:rFonts w:cs="Arial" w:ascii="Arial" w:hAnsi="Arial"/>
                <w:color w:val="000000"/>
                <w:sz w:val="16"/>
                <w:lang w:eastAsia="en-US"/>
              </w:rPr>
              <w:t>, whether under agreement or otherwise.</w:t>
            </w:r>
          </w:p>
        </w:tc>
      </w:tr>
      <w:tr>
        <w:trPr>
          <w:trHeight w:val="3571" w:hRule="atLeast"/>
        </w:trPr>
        <w:tc>
          <w:tcPr>
            <w:tcW w:w="3462"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lang w:eastAsia="en-US"/>
              </w:rPr>
            </w:pPr>
            <w:r>
              <w:rPr>
                <w:rFonts w:cs="Arial" w:ascii="Arial" w:hAnsi="Arial"/>
                <w:color w:val="000000"/>
                <w:sz w:val="16"/>
                <w:lang w:eastAsia="en-US"/>
              </w:rPr>
            </w:r>
          </w:p>
        </w:tc>
        <w:tc>
          <w:tcPr>
            <w:tcW w:w="3462"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lang w:eastAsia="en-US"/>
              </w:rPr>
            </w:pPr>
            <w:r>
              <w:rPr>
                <w:rFonts w:cs="Arial" w:ascii="Arial" w:hAnsi="Arial"/>
                <w:color w:val="000000"/>
                <w:sz w:val="16"/>
                <w:lang w:eastAsia="en-US"/>
              </w:rPr>
            </w:r>
          </w:p>
        </w:tc>
        <w:tc>
          <w:tcPr>
            <w:tcW w:w="3462"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lang w:eastAsia="en-US"/>
              </w:rPr>
            </w:pPr>
            <w:r>
              <w:rPr>
                <w:rFonts w:cs="Arial" w:ascii="Arial" w:hAnsi="Arial"/>
                <w:color w:val="000000"/>
                <w:sz w:val="16"/>
                <w:lang w:eastAsia="en-US"/>
              </w:rPr>
            </w:r>
          </w:p>
        </w:tc>
        <w:tc>
          <w:tcPr>
            <w:tcW w:w="3462"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lang w:eastAsia="en-US"/>
              </w:rPr>
            </w:pPr>
            <w:r>
              <w:rPr>
                <w:rFonts w:cs="Arial" w:ascii="Arial" w:hAnsi="Arial"/>
                <w:color w:val="000000"/>
                <w:sz w:val="16"/>
                <w:lang w:eastAsia="en-US"/>
              </w:rPr>
            </w:r>
          </w:p>
        </w:tc>
        <w:tc>
          <w:tcPr>
            <w:tcW w:w="3462"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lang w:eastAsia="en-US"/>
              </w:rPr>
            </w:pPr>
            <w:r>
              <w:rPr>
                <w:rFonts w:cs="Arial" w:ascii="Arial" w:hAnsi="Arial"/>
                <w:color w:val="000000"/>
                <w:sz w:val="16"/>
                <w:lang w:eastAsia="en-US"/>
              </w:rPr>
            </w:r>
          </w:p>
        </w:tc>
      </w:tr>
    </w:tbl>
    <w:p>
      <w:pPr>
        <w:pStyle w:val="Normal"/>
        <w:tabs>
          <w:tab w:val="clear" w:pos="720"/>
          <w:tab w:val="left" w:pos="990" w:leader="none"/>
        </w:tabs>
        <w:rPr/>
      </w:pPr>
      <w:r>
        <w:rPr/>
      </w:r>
    </w:p>
    <w:sectPr>
      <w:footerReference w:type="default" r:id="rId2"/>
      <w:footerReference w:type="first" r:id="rId3"/>
      <w:type w:val="nextPage"/>
      <w:pgSz w:orient="landscape" w:w="20160" w:h="122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HN 46632.2 02618 00125 4/8/01 6:02:08 PM</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3z0">
    <w:name w:val="WW8Num3z0"/>
    <w:qFormat/>
    <w:rPr>
      <w:color w:val="000000"/>
    </w:rPr>
  </w:style>
  <w:style w:type="character" w:styleId="DefaultParagraphFont">
    <w:name w:val="Default Paragraph Font"/>
    <w:qFormat/>
    <w:rPr/>
  </w:style>
  <w:style w:type="character" w:styleId="Hidden">
    <w:name w:val="Hidden"/>
    <w:basedOn w:val="DefaultParagraphFont"/>
    <w:qFormat/>
    <w:rPr>
      <w:vanish/>
      <w:color w:val="FF000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2001-04-08T12:44:00Z</dcterms:created>
  <dc:creator>LeBoeuf, Lamb, Greene &amp; MacRae, L.L.P.</dc:creator>
  <dc:description/>
  <cp:keywords>HN 46632.2 02618 00125 4/8/01 6:02:08 PM</cp:keywords>
  <dc:language>en-CA</dc:language>
  <cp:lastModifiedBy>LeBoeuf, Lamb, Greene &amp; MacRae, L.L.P.</cp:lastModifiedBy>
  <cp:lastPrinted>2001-04-08T18:02:00Z</cp:lastPrinted>
  <dcterms:modified xsi:type="dcterms:W3CDTF">2001-04-08T20:35:00Z</dcterms:modified>
  <cp:revision>9</cp:revision>
  <dc:subject/>
  <dc:title>Heading 1</dc:title>
</cp:coreProperties>
</file>