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i/>
          <w:i/>
          <w:sz w:val="22"/>
          <w:u w:val="none"/>
        </w:rPr>
      </w:pPr>
      <w:r>
        <w:rPr>
          <w:i/>
          <w:sz w:val="22"/>
          <w:u w:val="none"/>
        </w:rPr>
        <w:t>DRAFT – October 23, 2001</w:t>
      </w:r>
    </w:p>
    <w:p>
      <w:pPr>
        <w:pStyle w:val="Heading"/>
        <w:rPr>
          <w:sz w:val="22"/>
        </w:rPr>
      </w:pPr>
      <w:r>
        <w:rPr>
          <w:sz w:val="22"/>
        </w:rPr>
        <w:t>FOURTH AMENDMENT TO</w:t>
      </w:r>
    </w:p>
    <w:p>
      <w:pPr>
        <w:pStyle w:val="Subtitle"/>
        <w:rPr>
          <w:sz w:val="22"/>
        </w:rPr>
      </w:pPr>
      <w:r>
        <w:rPr>
          <w:sz w:val="22"/>
        </w:rPr>
        <w:t xml:space="preserve">MASTER ENERGY PRICE SWAP AGREEMENT </w:t>
      </w:r>
    </w:p>
    <w:p>
      <w:pPr>
        <w:pStyle w:val="Normal"/>
        <w:jc w:val="center"/>
        <w:rPr>
          <w:b/>
          <w:sz w:val="22"/>
        </w:rPr>
      </w:pPr>
      <w:r>
        <w:rPr>
          <w:b/>
          <w:sz w:val="22"/>
        </w:rPr>
      </w:r>
    </w:p>
    <w:p>
      <w:pPr>
        <w:pStyle w:val="Normal"/>
        <w:rPr/>
      </w:pPr>
      <w:r>
        <w:rPr>
          <w:b/>
          <w:sz w:val="22"/>
        </w:rPr>
        <w:tab/>
      </w:r>
      <w:r>
        <w:rPr>
          <w:sz w:val="22"/>
        </w:rPr>
        <w:t>This Fourth Amendment to the Master Energy Price Swap Agreement (the “</w:t>
      </w:r>
      <w:r>
        <w:rPr>
          <w:sz w:val="22"/>
          <w:u w:val="single"/>
        </w:rPr>
        <w:t>Fourth Amendment</w:t>
      </w:r>
      <w:r>
        <w:rPr>
          <w:sz w:val="22"/>
        </w:rPr>
        <w:t>”) is made and entered into this ___ day of October, 2001 by and between ENRON NORTH AMERICA CORP. , formerly known as Enron Capital &amp; Trade Resources Corp. (“Enron”), a Delaware corporation and MORGAN STANLEY CAPITAL GROUP INC. (“Counterparty”), a Delaware corporation.</w:t>
      </w:r>
    </w:p>
    <w:p>
      <w:pPr>
        <w:pStyle w:val="Normal"/>
        <w:rPr>
          <w:sz w:val="22"/>
        </w:rPr>
      </w:pPr>
      <w:r>
        <w:rPr>
          <w:sz w:val="22"/>
        </w:rPr>
      </w:r>
    </w:p>
    <w:p>
      <w:pPr>
        <w:pStyle w:val="Normal"/>
        <w:jc w:val="center"/>
        <w:rPr>
          <w:sz w:val="22"/>
        </w:rPr>
      </w:pPr>
      <w:r>
        <w:rPr>
          <w:b/>
          <w:sz w:val="22"/>
          <w:u w:val="single"/>
        </w:rPr>
        <w:t>W</w:t>
      </w:r>
      <w:r>
        <w:rPr>
          <w:b/>
          <w:sz w:val="22"/>
        </w:rPr>
        <w:t xml:space="preserve"> </w:t>
      </w:r>
      <w:r>
        <w:rPr>
          <w:b/>
          <w:sz w:val="22"/>
          <w:u w:val="single"/>
        </w:rPr>
        <w:t>I</w:t>
      </w:r>
      <w:r>
        <w:rPr>
          <w:b/>
          <w:sz w:val="22"/>
        </w:rPr>
        <w:t xml:space="preserve"> </w:t>
      </w:r>
      <w:r>
        <w:rPr>
          <w:b/>
          <w:sz w:val="22"/>
          <w:u w:val="single"/>
        </w:rPr>
        <w:t>T</w:t>
      </w:r>
      <w:r>
        <w:rPr>
          <w:b/>
          <w:sz w:val="22"/>
        </w:rPr>
        <w:t xml:space="preserve"> </w:t>
      </w:r>
      <w:r>
        <w:rPr>
          <w:b/>
          <w:sz w:val="22"/>
          <w:u w:val="single"/>
        </w:rPr>
        <w:t>N</w:t>
      </w:r>
      <w:r>
        <w:rPr>
          <w:b/>
          <w:sz w:val="22"/>
        </w:rPr>
        <w:t xml:space="preserve"> </w:t>
      </w:r>
      <w:r>
        <w:rPr>
          <w:b/>
          <w:sz w:val="22"/>
          <w:u w:val="single"/>
        </w:rPr>
        <w:t>E</w:t>
      </w:r>
      <w:r>
        <w:rPr>
          <w:b/>
          <w:sz w:val="22"/>
        </w:rPr>
        <w:t xml:space="preserve"> </w:t>
      </w:r>
      <w:r>
        <w:rPr>
          <w:b/>
          <w:sz w:val="22"/>
          <w:u w:val="single"/>
        </w:rPr>
        <w:t>S</w:t>
      </w:r>
      <w:r>
        <w:rPr>
          <w:b/>
          <w:sz w:val="22"/>
        </w:rPr>
        <w:t xml:space="preserve"> </w:t>
      </w:r>
      <w:r>
        <w:rPr>
          <w:b/>
          <w:sz w:val="22"/>
          <w:u w:val="single"/>
        </w:rPr>
        <w:t>S</w:t>
      </w:r>
      <w:r>
        <w:rPr>
          <w:b/>
          <w:sz w:val="22"/>
        </w:rPr>
        <w:t xml:space="preserve"> </w:t>
      </w:r>
      <w:r>
        <w:rPr>
          <w:b/>
          <w:sz w:val="22"/>
          <w:u w:val="single"/>
        </w:rPr>
        <w:t>E</w:t>
      </w:r>
      <w:r>
        <w:rPr>
          <w:b/>
          <w:sz w:val="22"/>
        </w:rPr>
        <w:t xml:space="preserve"> </w:t>
      </w:r>
      <w:r>
        <w:rPr>
          <w:b/>
          <w:sz w:val="22"/>
          <w:u w:val="single"/>
        </w:rPr>
        <w:t>T</w:t>
      </w:r>
      <w:r>
        <w:rPr>
          <w:b/>
          <w:sz w:val="22"/>
        </w:rPr>
        <w:t xml:space="preserve"> </w:t>
      </w:r>
      <w:r>
        <w:rPr>
          <w:b/>
          <w:sz w:val="22"/>
          <w:u w:val="single"/>
        </w:rPr>
        <w:t>H</w:t>
      </w:r>
    </w:p>
    <w:p>
      <w:pPr>
        <w:pStyle w:val="Normal"/>
        <w:jc w:val="center"/>
        <w:rPr>
          <w:sz w:val="22"/>
        </w:rPr>
      </w:pPr>
      <w:r>
        <w:rPr>
          <w:sz w:val="22"/>
        </w:rPr>
      </w:r>
    </w:p>
    <w:p>
      <w:pPr>
        <w:pStyle w:val="Normal"/>
        <w:rPr/>
      </w:pPr>
      <w:r>
        <w:rPr>
          <w:sz w:val="22"/>
        </w:rPr>
        <w:tab/>
        <w:t>WHEREAS, Enron and Counterparty entered into that certain Master Energy Price Swap Agreement dated as of June 16, 1992, as amended pursuant to a First Amendment, dated as of March 17, 1994, a Second Amendment dated as of January 10, 1995, and a Third Amendment dated as of October 19, 1995 (collectively, the “</w:t>
      </w:r>
      <w:r>
        <w:rPr>
          <w:sz w:val="22"/>
          <w:u w:val="single"/>
        </w:rPr>
        <w:t>Agreement</w:t>
      </w:r>
      <w:r>
        <w:rPr>
          <w:sz w:val="22"/>
        </w:rPr>
        <w:t>”) (the term “Contract” and all other defined terms used but not defined herein shall have the meanings ascribed such terms in the Agreement):</w:t>
      </w:r>
    </w:p>
    <w:p>
      <w:pPr>
        <w:pStyle w:val="Normal"/>
        <w:rPr>
          <w:sz w:val="22"/>
        </w:rPr>
      </w:pPr>
      <w:r>
        <w:rPr>
          <w:sz w:val="22"/>
        </w:rPr>
      </w:r>
    </w:p>
    <w:p>
      <w:pPr>
        <w:pStyle w:val="Normal"/>
        <w:rPr>
          <w:sz w:val="22"/>
        </w:rPr>
      </w:pPr>
      <w:r>
        <w:rPr>
          <w:sz w:val="22"/>
        </w:rPr>
        <w:tab/>
        <w:t>WHEREAS, the parties hereto desire to amend the Agreement as provided herein;</w:t>
      </w:r>
    </w:p>
    <w:p>
      <w:pPr>
        <w:pStyle w:val="Normal"/>
        <w:rPr>
          <w:sz w:val="22"/>
        </w:rPr>
      </w:pPr>
      <w:r>
        <w:rPr>
          <w:sz w:val="22"/>
        </w:rPr>
      </w:r>
    </w:p>
    <w:p>
      <w:pPr>
        <w:pStyle w:val="Normal"/>
        <w:rPr>
          <w:sz w:val="22"/>
        </w:rPr>
      </w:pPr>
      <w:r>
        <w:rPr>
          <w:sz w:val="22"/>
        </w:rPr>
        <w:tab/>
        <w:t>NOW THEREFORE, for an in consideration of the agreements herein made and other good and valuable consideration, the parties hereto agree as follows:</w:t>
      </w:r>
    </w:p>
    <w:p>
      <w:pPr>
        <w:pStyle w:val="Normal"/>
        <w:rPr>
          <w:sz w:val="22"/>
        </w:rPr>
      </w:pPr>
      <w:r>
        <w:rPr>
          <w:sz w:val="22"/>
        </w:rPr>
      </w:r>
    </w:p>
    <w:p>
      <w:pPr>
        <w:pStyle w:val="Normal"/>
        <w:jc w:val="center"/>
        <w:rPr>
          <w:sz w:val="22"/>
        </w:rPr>
      </w:pPr>
      <w:r>
        <w:rPr>
          <w:b/>
          <w:sz w:val="22"/>
        </w:rPr>
        <w:t xml:space="preserve">I.   </w:t>
      </w:r>
      <w:r>
        <w:rPr>
          <w:b/>
          <w:sz w:val="22"/>
          <w:u w:val="single"/>
        </w:rPr>
        <w:t>A</w:t>
      </w:r>
      <w:r>
        <w:rPr>
          <w:b/>
          <w:sz w:val="22"/>
        </w:rPr>
        <w:t xml:space="preserve"> </w:t>
      </w:r>
      <w:r>
        <w:rPr>
          <w:b/>
          <w:sz w:val="22"/>
          <w:u w:val="single"/>
        </w:rPr>
        <w:t>G</w:t>
      </w:r>
      <w:r>
        <w:rPr>
          <w:b/>
          <w:sz w:val="22"/>
        </w:rPr>
        <w:t xml:space="preserve"> </w:t>
      </w:r>
      <w:r>
        <w:rPr>
          <w:b/>
          <w:sz w:val="22"/>
          <w:u w:val="single"/>
        </w:rPr>
        <w:t>R</w:t>
      </w:r>
      <w:r>
        <w:rPr>
          <w:b/>
          <w:sz w:val="22"/>
        </w:rPr>
        <w:t xml:space="preserve"> </w:t>
      </w:r>
      <w:r>
        <w:rPr>
          <w:b/>
          <w:sz w:val="22"/>
          <w:u w:val="single"/>
        </w:rPr>
        <w:t>E</w:t>
      </w:r>
      <w:r>
        <w:rPr>
          <w:b/>
          <w:sz w:val="22"/>
        </w:rPr>
        <w:t xml:space="preserve"> </w:t>
      </w:r>
      <w:r>
        <w:rPr>
          <w:b/>
          <w:sz w:val="22"/>
          <w:u w:val="single"/>
        </w:rPr>
        <w:t>E</w:t>
      </w:r>
      <w:r>
        <w:rPr>
          <w:b/>
          <w:sz w:val="22"/>
        </w:rPr>
        <w:t xml:space="preserve"> </w:t>
      </w:r>
      <w:r>
        <w:rPr>
          <w:b/>
          <w:sz w:val="22"/>
          <w:u w:val="single"/>
        </w:rPr>
        <w:t>M</w:t>
      </w:r>
      <w:r>
        <w:rPr>
          <w:b/>
          <w:sz w:val="22"/>
        </w:rPr>
        <w:t xml:space="preserve"> </w:t>
      </w:r>
      <w:r>
        <w:rPr>
          <w:b/>
          <w:sz w:val="22"/>
          <w:u w:val="single"/>
        </w:rPr>
        <w:t>E</w:t>
      </w:r>
      <w:r>
        <w:rPr>
          <w:b/>
          <w:sz w:val="22"/>
        </w:rPr>
        <w:t xml:space="preserve"> </w:t>
      </w:r>
      <w:r>
        <w:rPr>
          <w:b/>
          <w:sz w:val="22"/>
          <w:u w:val="single"/>
        </w:rPr>
        <w:t>N</w:t>
      </w:r>
      <w:r>
        <w:rPr>
          <w:b/>
          <w:sz w:val="22"/>
        </w:rPr>
        <w:t xml:space="preserve"> </w:t>
      </w:r>
      <w:r>
        <w:rPr>
          <w:b/>
          <w:sz w:val="22"/>
          <w:u w:val="single"/>
        </w:rPr>
        <w:t>T</w:t>
      </w:r>
      <w:r>
        <w:rPr>
          <w:b/>
          <w:sz w:val="22"/>
        </w:rPr>
        <w:t xml:space="preserve"> </w:t>
      </w:r>
      <w:r>
        <w:rPr>
          <w:b/>
          <w:sz w:val="22"/>
          <w:u w:val="single"/>
        </w:rPr>
        <w:t>S</w:t>
      </w:r>
    </w:p>
    <w:p>
      <w:pPr>
        <w:pStyle w:val="Normal"/>
        <w:rPr>
          <w:sz w:val="22"/>
        </w:rPr>
      </w:pPr>
      <w:r>
        <w:rPr>
          <w:sz w:val="22"/>
        </w:rPr>
      </w:r>
    </w:p>
    <w:p>
      <w:pPr>
        <w:pStyle w:val="Normal"/>
        <w:numPr>
          <w:ilvl w:val="0"/>
          <w:numId w:val="2"/>
        </w:numPr>
        <w:rPr>
          <w:sz w:val="22"/>
        </w:rPr>
      </w:pPr>
      <w:r>
        <w:rPr>
          <w:sz w:val="22"/>
          <w:u w:val="single"/>
        </w:rPr>
        <w:t>Annex A – Collateral and Exposure Provisions</w:t>
      </w:r>
    </w:p>
    <w:p>
      <w:pPr>
        <w:pStyle w:val="Normal"/>
        <w:rPr>
          <w:sz w:val="22"/>
        </w:rPr>
      </w:pPr>
      <w:r>
        <w:rPr>
          <w:sz w:val="22"/>
        </w:rPr>
      </w:r>
    </w:p>
    <w:p>
      <w:pPr>
        <w:pStyle w:val="Normal"/>
        <w:ind w:start="720" w:end="0"/>
        <w:rPr/>
      </w:pPr>
      <w:r>
        <w:rPr>
          <w:sz w:val="22"/>
        </w:rPr>
        <w:t>The definition of “</w:t>
      </w:r>
      <w:r>
        <w:rPr>
          <w:sz w:val="22"/>
          <w:u w:val="single"/>
        </w:rPr>
        <w:t>Exposure Threshold</w:t>
      </w:r>
      <w:r>
        <w:rPr>
          <w:sz w:val="22"/>
        </w:rPr>
        <w:t>” in Section 1 of Annex A is hereby deleted in its entirety and inserted in its place the following:</w:t>
      </w:r>
    </w:p>
    <w:p>
      <w:pPr>
        <w:pStyle w:val="Normal"/>
        <w:ind w:start="720" w:end="0"/>
        <w:rPr>
          <w:sz w:val="22"/>
        </w:rPr>
      </w:pPr>
      <w:r>
        <w:rPr>
          <w:sz w:val="22"/>
        </w:rPr>
      </w:r>
    </w:p>
    <w:p>
      <w:pPr>
        <w:pStyle w:val="Normal"/>
        <w:ind w:start="720" w:end="0"/>
        <w:rPr/>
      </w:pPr>
      <w:r>
        <w:rPr>
          <w:sz w:val="22"/>
        </w:rPr>
        <w:t>“’</w:t>
      </w:r>
      <w:r>
        <w:rPr>
          <w:sz w:val="22"/>
          <w:u w:val="single"/>
        </w:rPr>
        <w:t>’</w:t>
      </w:r>
      <w:r>
        <w:rPr>
          <w:sz w:val="22"/>
          <w:u w:val="single"/>
        </w:rPr>
        <w:t>Exposure Threshold</w:t>
      </w:r>
      <w:r>
        <w:rPr>
          <w:sz w:val="22"/>
        </w:rPr>
        <w:t>’ shall mean:</w:t>
      </w:r>
    </w:p>
    <w:p>
      <w:pPr>
        <w:pStyle w:val="Normal"/>
        <w:ind w:start="720" w:end="0"/>
        <w:rPr>
          <w:sz w:val="22"/>
        </w:rPr>
      </w:pPr>
      <w:r>
        <w:rPr>
          <w:sz w:val="22"/>
        </w:rPr>
      </w:r>
    </w:p>
    <w:p>
      <w:pPr>
        <w:pStyle w:val="Normal"/>
        <w:numPr>
          <w:ilvl w:val="0"/>
          <w:numId w:val="3"/>
        </w:numPr>
        <w:rPr>
          <w:sz w:val="22"/>
        </w:rPr>
      </w:pPr>
      <w:r>
        <w:rPr>
          <w:sz w:val="22"/>
        </w:rPr>
        <w:t>with respect to Enron, at any time, the lesser of (1) the amount specified in the table below under the relevant heading opposite the lower of the ratings at the time assigned by S&amp;P or Moody’s to the Credit Rating of Enron’s Guarantor or (2) 80% of the maximum aggregate liability under the guarantee provided by Enron’s Guarantor;</w:t>
      </w:r>
    </w:p>
    <w:p>
      <w:pPr>
        <w:pStyle w:val="Normal"/>
        <w:ind w:start="1440" w:end="0"/>
        <w:rPr>
          <w:sz w:val="22"/>
        </w:rPr>
      </w:pPr>
      <w:r>
        <w:rPr>
          <w:sz w:val="22"/>
        </w:rPr>
      </w:r>
    </w:p>
    <w:p>
      <w:pPr>
        <w:pStyle w:val="Normal"/>
        <w:numPr>
          <w:ilvl w:val="0"/>
          <w:numId w:val="3"/>
        </w:numPr>
        <w:rPr>
          <w:sz w:val="22"/>
        </w:rPr>
      </w:pPr>
      <w:r>
        <w:rPr>
          <w:sz w:val="22"/>
        </w:rPr>
        <w:t>with respect to Counterparty, at any time the amount specified in the table below under the relevant heading opposite the lower of the ratings at the time assigned by S&amp;P or Moody’s to the Credit Rating of Counterparty’s Guarantor;</w:t>
      </w:r>
    </w:p>
    <w:p>
      <w:pPr>
        <w:pStyle w:val="Normal"/>
        <w:rPr>
          <w:sz w:val="22"/>
        </w:rPr>
      </w:pPr>
      <w:r>
        <w:rPr>
          <w:sz w:val="22"/>
        </w:rPr>
      </w:r>
    </w:p>
    <w:p>
      <w:pPr>
        <w:pStyle w:val="Normal"/>
        <w:ind w:start="1440" w:end="0"/>
        <w:rPr>
          <w:sz w:val="22"/>
        </w:rPr>
      </w:pPr>
      <w:r>
        <w:rPr>
          <w:sz w:val="22"/>
        </w:rPr>
        <w:t>provided that (a) if the Credit Rating of Enron’s Guarantor or Counterparty’s Guarantor is no longer rated by one of S&amp;P or Moody’s, the ExposureThreshold with respect to Enron or Counterparty, as the case may be, will be zero and (b) if a Material Adverse Change or an Event of Default with respect to Enron or Counterparty has occurred and is continuing the Exposure Threshold with respect to such party shall be zero.</w:t>
      </w:r>
    </w:p>
    <w:p>
      <w:pPr>
        <w:pStyle w:val="Normal"/>
        <w:ind w:start="1440" w:end="0"/>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1548"/>
        <w:gridCol w:w="2436"/>
        <w:gridCol w:w="2436"/>
        <w:gridCol w:w="2436"/>
      </w:tblGrid>
      <w:tr>
        <w:trPr/>
        <w:tc>
          <w:tcPr>
            <w:tcW w:w="1548" w:type="dxa"/>
            <w:tcBorders/>
          </w:tcPr>
          <w:p>
            <w:pPr>
              <w:pStyle w:val="Normal"/>
              <w:snapToGrid w:val="false"/>
              <w:rPr>
                <w:sz w:val="22"/>
              </w:rPr>
            </w:pPr>
            <w:r>
              <w:rPr>
                <w:sz w:val="22"/>
              </w:rPr>
            </w:r>
          </w:p>
        </w:tc>
        <w:tc>
          <w:tcPr>
            <w:tcW w:w="2436" w:type="dxa"/>
            <w:tcBorders/>
          </w:tcPr>
          <w:p>
            <w:pPr>
              <w:pStyle w:val="Heading1"/>
              <w:ind w:hanging="0" w:start="0"/>
              <w:rPr>
                <w:sz w:val="22"/>
              </w:rPr>
            </w:pPr>
            <w:r>
              <w:rPr>
                <w:sz w:val="22"/>
              </w:rPr>
              <w:t>Moody’s Rating</w:t>
            </w:r>
          </w:p>
        </w:tc>
        <w:tc>
          <w:tcPr>
            <w:tcW w:w="2436" w:type="dxa"/>
            <w:tcBorders/>
          </w:tcPr>
          <w:p>
            <w:pPr>
              <w:pStyle w:val="Heading1"/>
              <w:ind w:hanging="0" w:start="0"/>
              <w:rPr>
                <w:sz w:val="22"/>
              </w:rPr>
            </w:pPr>
            <w:r>
              <w:rPr>
                <w:sz w:val="22"/>
              </w:rPr>
              <w:t>S&amp;P Rating</w:t>
            </w:r>
          </w:p>
        </w:tc>
        <w:tc>
          <w:tcPr>
            <w:tcW w:w="2436" w:type="dxa"/>
            <w:tcBorders/>
          </w:tcPr>
          <w:p>
            <w:pPr>
              <w:pStyle w:val="Heading1"/>
              <w:ind w:hanging="0" w:start="0"/>
              <w:rPr>
                <w:sz w:val="22"/>
              </w:rPr>
            </w:pPr>
            <w:r>
              <w:rPr>
                <w:sz w:val="22"/>
              </w:rPr>
              <w:t>Exposure Threshold</w:t>
            </w:r>
          </w:p>
        </w:tc>
      </w:tr>
      <w:tr>
        <w:trPr/>
        <w:tc>
          <w:tcPr>
            <w:tcW w:w="1548" w:type="dxa"/>
            <w:tcBorders/>
          </w:tcPr>
          <w:p>
            <w:pPr>
              <w:pStyle w:val="Normal"/>
              <w:snapToGrid w:val="false"/>
              <w:rPr>
                <w:sz w:val="22"/>
              </w:rPr>
            </w:pPr>
            <w:r>
              <w:rPr>
                <w:sz w:val="22"/>
              </w:rPr>
            </w:r>
          </w:p>
        </w:tc>
        <w:tc>
          <w:tcPr>
            <w:tcW w:w="2436" w:type="dxa"/>
            <w:tcBorders/>
          </w:tcPr>
          <w:p>
            <w:pPr>
              <w:pStyle w:val="Normal"/>
              <w:snapToGrid w:val="false"/>
              <w:rPr>
                <w:sz w:val="22"/>
              </w:rPr>
            </w:pPr>
            <w:r>
              <w:rPr>
                <w:sz w:val="22"/>
              </w:rPr>
            </w:r>
          </w:p>
        </w:tc>
        <w:tc>
          <w:tcPr>
            <w:tcW w:w="2436" w:type="dxa"/>
            <w:tcBorders/>
          </w:tcPr>
          <w:p>
            <w:pPr>
              <w:pStyle w:val="Normal"/>
              <w:snapToGrid w:val="false"/>
              <w:rPr>
                <w:sz w:val="22"/>
              </w:rPr>
            </w:pPr>
            <w:r>
              <w:rPr>
                <w:sz w:val="22"/>
              </w:rPr>
            </w:r>
          </w:p>
        </w:tc>
        <w:tc>
          <w:tcPr>
            <w:tcW w:w="2436" w:type="dxa"/>
            <w:tcBorders/>
          </w:tcPr>
          <w:p>
            <w:pPr>
              <w:pStyle w:val="Normal"/>
              <w:snapToGrid w:val="false"/>
              <w:rPr>
                <w:sz w:val="22"/>
              </w:rPr>
            </w:pPr>
            <w:r>
              <w:rPr>
                <w:sz w:val="22"/>
              </w:rPr>
            </w:r>
          </w:p>
        </w:tc>
      </w:tr>
      <w:tr>
        <w:trPr/>
        <w:tc>
          <w:tcPr>
            <w:tcW w:w="1548" w:type="dxa"/>
            <w:tcBorders/>
          </w:tcPr>
          <w:p>
            <w:pPr>
              <w:pStyle w:val="Normal"/>
              <w:snapToGrid w:val="false"/>
              <w:rPr>
                <w:sz w:val="22"/>
              </w:rPr>
            </w:pPr>
            <w:r>
              <w:rPr>
                <w:sz w:val="22"/>
              </w:rPr>
            </w:r>
          </w:p>
        </w:tc>
        <w:tc>
          <w:tcPr>
            <w:tcW w:w="2436" w:type="dxa"/>
            <w:tcBorders/>
          </w:tcPr>
          <w:p>
            <w:pPr>
              <w:pStyle w:val="Normal"/>
              <w:rPr>
                <w:sz w:val="22"/>
              </w:rPr>
            </w:pPr>
            <w:r>
              <w:rPr>
                <w:sz w:val="22"/>
              </w:rPr>
              <w:t>Baa1 or above</w:t>
            </w:r>
          </w:p>
        </w:tc>
        <w:tc>
          <w:tcPr>
            <w:tcW w:w="2436" w:type="dxa"/>
            <w:tcBorders/>
          </w:tcPr>
          <w:p>
            <w:pPr>
              <w:pStyle w:val="Normal"/>
              <w:rPr>
                <w:sz w:val="22"/>
              </w:rPr>
            </w:pPr>
            <w:r>
              <w:rPr>
                <w:sz w:val="22"/>
              </w:rPr>
              <w:t>BBB+ or above</w:t>
            </w:r>
          </w:p>
        </w:tc>
        <w:tc>
          <w:tcPr>
            <w:tcW w:w="2436" w:type="dxa"/>
            <w:tcBorders/>
          </w:tcPr>
          <w:p>
            <w:pPr>
              <w:pStyle w:val="Normal"/>
              <w:rPr>
                <w:sz w:val="22"/>
              </w:rPr>
            </w:pPr>
            <w:r>
              <w:rPr>
                <w:sz w:val="22"/>
              </w:rPr>
              <w:t>$15,000,000</w:t>
            </w:r>
          </w:p>
        </w:tc>
      </w:tr>
      <w:tr>
        <w:trPr/>
        <w:tc>
          <w:tcPr>
            <w:tcW w:w="1548" w:type="dxa"/>
            <w:tcBorders/>
          </w:tcPr>
          <w:p>
            <w:pPr>
              <w:pStyle w:val="Normal"/>
              <w:snapToGrid w:val="false"/>
              <w:rPr>
                <w:sz w:val="22"/>
              </w:rPr>
            </w:pPr>
            <w:r>
              <w:rPr>
                <w:sz w:val="22"/>
              </w:rPr>
            </w:r>
          </w:p>
        </w:tc>
        <w:tc>
          <w:tcPr>
            <w:tcW w:w="2436" w:type="dxa"/>
            <w:tcBorders/>
          </w:tcPr>
          <w:p>
            <w:pPr>
              <w:pStyle w:val="Normal"/>
              <w:rPr>
                <w:sz w:val="22"/>
              </w:rPr>
            </w:pPr>
            <w:r>
              <w:rPr>
                <w:sz w:val="22"/>
              </w:rPr>
              <w:t>Baa2</w:t>
            </w:r>
          </w:p>
        </w:tc>
        <w:tc>
          <w:tcPr>
            <w:tcW w:w="2436" w:type="dxa"/>
            <w:tcBorders/>
          </w:tcPr>
          <w:p>
            <w:pPr>
              <w:pStyle w:val="Normal"/>
              <w:rPr>
                <w:sz w:val="22"/>
              </w:rPr>
            </w:pPr>
            <w:r>
              <w:rPr>
                <w:sz w:val="22"/>
              </w:rPr>
              <w:t>BBB</w:t>
            </w:r>
          </w:p>
        </w:tc>
        <w:tc>
          <w:tcPr>
            <w:tcW w:w="2436" w:type="dxa"/>
            <w:tcBorders/>
          </w:tcPr>
          <w:p>
            <w:pPr>
              <w:pStyle w:val="Normal"/>
              <w:rPr>
                <w:sz w:val="22"/>
              </w:rPr>
            </w:pPr>
            <w:r>
              <w:rPr>
                <w:sz w:val="22"/>
              </w:rPr>
              <w:t>$5,000,000</w:t>
            </w:r>
          </w:p>
        </w:tc>
      </w:tr>
      <w:tr>
        <w:trPr/>
        <w:tc>
          <w:tcPr>
            <w:tcW w:w="1548" w:type="dxa"/>
            <w:tcBorders/>
          </w:tcPr>
          <w:p>
            <w:pPr>
              <w:pStyle w:val="Normal"/>
              <w:snapToGrid w:val="false"/>
              <w:rPr>
                <w:sz w:val="22"/>
              </w:rPr>
            </w:pPr>
            <w:r>
              <w:rPr>
                <w:sz w:val="22"/>
              </w:rPr>
            </w:r>
          </w:p>
        </w:tc>
        <w:tc>
          <w:tcPr>
            <w:tcW w:w="2436" w:type="dxa"/>
            <w:tcBorders/>
          </w:tcPr>
          <w:p>
            <w:pPr>
              <w:pStyle w:val="Normal"/>
              <w:rPr>
                <w:sz w:val="22"/>
              </w:rPr>
            </w:pPr>
            <w:r>
              <w:rPr>
                <w:sz w:val="22"/>
              </w:rPr>
              <w:t>Baa3 or below (or rating suspended or withdrawn by both Moody’s and S&amp;P)</w:t>
            </w:r>
          </w:p>
        </w:tc>
        <w:tc>
          <w:tcPr>
            <w:tcW w:w="2436" w:type="dxa"/>
            <w:tcBorders/>
          </w:tcPr>
          <w:p>
            <w:pPr>
              <w:pStyle w:val="Normal"/>
              <w:rPr>
                <w:sz w:val="22"/>
              </w:rPr>
            </w:pPr>
            <w:r>
              <w:rPr>
                <w:sz w:val="22"/>
              </w:rPr>
              <w:t>BBB- or below (or rating suspended or withdrawn by both Moody’s and S&amp;P)</w:t>
            </w:r>
          </w:p>
        </w:tc>
        <w:tc>
          <w:tcPr>
            <w:tcW w:w="2436" w:type="dxa"/>
            <w:tcBorders/>
          </w:tcPr>
          <w:p>
            <w:pPr>
              <w:pStyle w:val="Normal"/>
              <w:rPr>
                <w:sz w:val="22"/>
              </w:rPr>
            </w:pPr>
            <w:r>
              <w:rPr>
                <w:sz w:val="22"/>
              </w:rPr>
              <w:t>0 (zero)”</w:t>
            </w:r>
          </w:p>
        </w:tc>
      </w:tr>
    </w:tbl>
    <w:p>
      <w:pPr>
        <w:pStyle w:val="Normal"/>
        <w:rPr>
          <w:sz w:val="22"/>
        </w:rPr>
      </w:pPr>
      <w:r>
        <w:rPr>
          <w:sz w:val="22"/>
        </w:rPr>
      </w:r>
    </w:p>
    <w:p>
      <w:pPr>
        <w:pStyle w:val="Normal"/>
        <w:numPr>
          <w:ilvl w:val="0"/>
          <w:numId w:val="2"/>
        </w:numPr>
        <w:rPr>
          <w:sz w:val="22"/>
        </w:rPr>
      </w:pPr>
      <w:r>
        <w:rPr>
          <w:sz w:val="22"/>
          <w:u w:val="single"/>
        </w:rPr>
        <w:t>Miscellaneous</w:t>
      </w:r>
    </w:p>
    <w:p>
      <w:pPr>
        <w:pStyle w:val="Normal"/>
        <w:rPr>
          <w:sz w:val="22"/>
        </w:rPr>
      </w:pPr>
      <w:r>
        <w:rPr>
          <w:sz w:val="22"/>
        </w:rPr>
      </w:r>
    </w:p>
    <w:p>
      <w:pPr>
        <w:pStyle w:val="BodyTextIndent"/>
        <w:rPr>
          <w:sz w:val="22"/>
        </w:rPr>
      </w:pPr>
      <w:r>
        <w:rPr>
          <w:sz w:val="22"/>
        </w:rPr>
        <w:t>This Fourth Amendment may be executed in multiple counterparts, each of which when executed and delivered shall be deemed to be an original and all of which taken together shall constitute but one and the same instrument.</w:t>
      </w:r>
    </w:p>
    <w:p>
      <w:pPr>
        <w:pStyle w:val="Normal"/>
        <w:rPr>
          <w:sz w:val="22"/>
        </w:rPr>
      </w:pPr>
      <w:r>
        <w:rPr>
          <w:sz w:val="22"/>
        </w:rPr>
      </w:r>
    </w:p>
    <w:p>
      <w:pPr>
        <w:pStyle w:val="Normal"/>
        <w:rPr>
          <w:sz w:val="22"/>
        </w:rPr>
      </w:pPr>
      <w:r>
        <w:rPr>
          <w:sz w:val="22"/>
        </w:rPr>
        <w:tab/>
        <w:t>Any and all references to the Agreement or the Contract shall hereafter refer to the Agreement or the Contract, as the case may be, as amended by this Fourth Amendment.   The provisions of this Fourth Amendment shall apply to any and all outstanding Swaps and Options under or made pursuant to the Contract or any Confirmation made pursuant to this Contract.</w:t>
      </w:r>
    </w:p>
    <w:p>
      <w:pPr>
        <w:pStyle w:val="Normal"/>
        <w:rPr>
          <w:sz w:val="22"/>
        </w:rPr>
      </w:pPr>
      <w:r>
        <w:rPr>
          <w:sz w:val="22"/>
        </w:rPr>
      </w:r>
    </w:p>
    <w:p>
      <w:pPr>
        <w:pStyle w:val="Normal"/>
        <w:ind w:firstLine="720" w:end="0"/>
        <w:rPr>
          <w:sz w:val="22"/>
        </w:rPr>
      </w:pPr>
      <w:r>
        <w:rPr>
          <w:spacing w:val="-2"/>
          <w:sz w:val="22"/>
        </w:rPr>
        <w:t>Except as modified by this Fourth Amendment, all terms and conditions of the Agreement shall remain in full force and effect.</w:t>
      </w:r>
    </w:p>
    <w:p>
      <w:pPr>
        <w:pStyle w:val="Normal"/>
        <w:rPr>
          <w:sz w:val="22"/>
        </w:rPr>
      </w:pPr>
      <w:r>
        <w:rPr>
          <w:sz w:val="22"/>
        </w:rPr>
      </w:r>
    </w:p>
    <w:p>
      <w:pPr>
        <w:pStyle w:val="Normal"/>
        <w:rPr>
          <w:sz w:val="22"/>
        </w:rPr>
      </w:pPr>
      <w:r>
        <w:rPr>
          <w:sz w:val="22"/>
        </w:rPr>
        <w:tab/>
      </w:r>
      <w:r>
        <w:rPr>
          <w:b/>
          <w:sz w:val="22"/>
        </w:rPr>
        <w:t>THIS FOURTH AMENDMENT SHALL BE GOVERNED BY AND CONSTRUED IN ACCORDANCE WITH THE LAWS OF THE STATE OF NEW YORK WITHOUT REGARD TO ANY PRINCIPLES OF CONFLICTS OF LAW.</w:t>
      </w:r>
    </w:p>
    <w:p>
      <w:pPr>
        <w:pStyle w:val="Normal"/>
        <w:rPr>
          <w:sz w:val="22"/>
        </w:rPr>
      </w:pPr>
      <w:r>
        <w:rPr>
          <w:sz w:val="22"/>
        </w:rPr>
      </w:r>
    </w:p>
    <w:p>
      <w:pPr>
        <w:pStyle w:val="Normal"/>
        <w:rPr>
          <w:sz w:val="22"/>
        </w:rPr>
      </w:pPr>
      <w:r>
        <w:rPr>
          <w:sz w:val="22"/>
        </w:rPr>
        <w:tab/>
        <w:t>IN WITNESS WHEREOF, the parties hereto have caused this Fourth Amendment to be executed in multiple originals as of the date first written above.</w:t>
      </w:r>
    </w:p>
    <w:p>
      <w:pPr>
        <w:pStyle w:val="Normal"/>
        <w:rPr>
          <w:sz w:val="22"/>
        </w:rPr>
      </w:pPr>
      <w:r>
        <w:rPr>
          <w:sz w:val="22"/>
        </w:rPr>
      </w:r>
    </w:p>
    <w:p>
      <w:pPr>
        <w:pStyle w:val="Normal"/>
        <w:rPr>
          <w:sz w:val="22"/>
        </w:rPr>
      </w:pPr>
      <w:r>
        <w:rPr>
          <w:sz w:val="22"/>
        </w:rPr>
        <w:tab/>
        <w:tab/>
        <w:tab/>
        <w:tab/>
      </w:r>
    </w:p>
    <w:p>
      <w:pPr>
        <w:pStyle w:val="Normal"/>
        <w:rPr>
          <w:sz w:val="22"/>
        </w:rPr>
      </w:pPr>
      <w:r>
        <w:rPr>
          <w:sz w:val="22"/>
        </w:rPr>
        <w:tab/>
        <w:tab/>
        <w:tab/>
        <w:tab/>
        <w:tab/>
        <w:t>ENRON NORTH AMERICA CORP.</w:t>
      </w:r>
    </w:p>
    <w:p>
      <w:pPr>
        <w:pStyle w:val="Normal"/>
        <w:rPr>
          <w:b/>
          <w:sz w:val="22"/>
        </w:rPr>
      </w:pPr>
      <w:r>
        <w:rPr>
          <w:b/>
          <w:sz w:val="22"/>
        </w:rPr>
      </w:r>
    </w:p>
    <w:p>
      <w:pPr>
        <w:pStyle w:val="Normal"/>
        <w:rPr>
          <w:b/>
          <w:sz w:val="22"/>
        </w:rPr>
      </w:pPr>
      <w:r>
        <w:rPr>
          <w:b/>
          <w:sz w:val="22"/>
        </w:rPr>
        <w:tab/>
        <w:tab/>
        <w:tab/>
        <w:tab/>
        <w:tab/>
      </w:r>
    </w:p>
    <w:p>
      <w:pPr>
        <w:pStyle w:val="Normal"/>
        <w:rPr>
          <w:b/>
          <w:sz w:val="22"/>
        </w:rPr>
      </w:pPr>
      <w:r>
        <w:rPr>
          <w:b/>
          <w:sz w:val="22"/>
        </w:rPr>
      </w:r>
    </w:p>
    <w:p>
      <w:pPr>
        <w:pStyle w:val="Normal"/>
        <w:rPr/>
      </w:pPr>
      <w:r>
        <w:rPr>
          <w:b/>
          <w:sz w:val="22"/>
        </w:rPr>
        <w:tab/>
        <w:tab/>
        <w:tab/>
        <w:tab/>
        <w:tab/>
      </w:r>
      <w:r>
        <w:rPr>
          <w:sz w:val="22"/>
        </w:rPr>
        <w:t>By:</w:t>
      </w:r>
      <w:r>
        <w:rPr>
          <w:sz w:val="22"/>
          <w:u w:val="single"/>
        </w:rPr>
        <w:tab/>
        <w:tab/>
        <w:tab/>
        <w:tab/>
        <w:tab/>
        <w:tab/>
        <w:tab/>
      </w:r>
    </w:p>
    <w:p>
      <w:pPr>
        <w:pStyle w:val="Normal"/>
        <w:rPr>
          <w:sz w:val="22"/>
        </w:rPr>
      </w:pPr>
      <w:r>
        <w:rPr>
          <w:sz w:val="22"/>
        </w:rPr>
        <w:tab/>
        <w:tab/>
        <w:tab/>
        <w:tab/>
        <w:tab/>
        <w:t>Name:</w:t>
      </w:r>
      <w:r>
        <w:rPr>
          <w:sz w:val="22"/>
          <w:u w:val="single"/>
        </w:rPr>
        <w:tab/>
        <w:tab/>
        <w:tab/>
        <w:tab/>
        <w:tab/>
        <w:tab/>
        <w:tab/>
      </w:r>
    </w:p>
    <w:p>
      <w:pPr>
        <w:pStyle w:val="Normal"/>
        <w:rPr>
          <w:sz w:val="22"/>
        </w:rPr>
      </w:pPr>
      <w:r>
        <w:rPr>
          <w:sz w:val="22"/>
        </w:rPr>
        <w:tab/>
        <w:tab/>
        <w:tab/>
        <w:tab/>
        <w:tab/>
        <w:t>Title:</w:t>
      </w:r>
      <w:r>
        <w:rPr>
          <w:sz w:val="22"/>
          <w:u w:val="single"/>
        </w:rPr>
        <w:tab/>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b/>
        <w:tab/>
        <w:tab/>
        <w:tab/>
        <w:tab/>
        <w:t>MORGAN STANLEY CAPITAL GROUP INC.</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firstLine="720" w:start="2880" w:end="0"/>
        <w:rPr/>
      </w:pPr>
      <w:r>
        <w:rPr>
          <w:sz w:val="22"/>
        </w:rPr>
        <w:t>By:</w:t>
      </w:r>
      <w:r>
        <w:rPr>
          <w:sz w:val="22"/>
          <w:u w:val="single"/>
        </w:rPr>
        <w:tab/>
        <w:tab/>
        <w:tab/>
        <w:tab/>
        <w:tab/>
        <w:tab/>
        <w:tab/>
      </w:r>
    </w:p>
    <w:p>
      <w:pPr>
        <w:pStyle w:val="Normal"/>
        <w:rPr>
          <w:sz w:val="22"/>
        </w:rPr>
      </w:pPr>
      <w:r>
        <w:rPr>
          <w:sz w:val="22"/>
        </w:rPr>
        <w:tab/>
        <w:tab/>
        <w:tab/>
        <w:tab/>
        <w:tab/>
        <w:t>Name:</w:t>
      </w:r>
      <w:r>
        <w:rPr>
          <w:sz w:val="22"/>
          <w:u w:val="single"/>
        </w:rPr>
        <w:tab/>
        <w:tab/>
        <w:tab/>
        <w:tab/>
        <w:tab/>
        <w:tab/>
        <w:tab/>
      </w:r>
    </w:p>
    <w:p>
      <w:pPr>
        <w:pStyle w:val="Normal"/>
        <w:rPr>
          <w:sz w:val="22"/>
        </w:rPr>
      </w:pPr>
      <w:r>
        <w:rPr>
          <w:sz w:val="22"/>
        </w:rPr>
        <w:tab/>
        <w:tab/>
        <w:tab/>
        <w:tab/>
        <w:tab/>
        <w:t>Title:</w:t>
      </w:r>
      <w:r>
        <w:rPr>
          <w:sz w:val="22"/>
          <w:u w:val="single"/>
        </w:rPr>
        <w:tab/>
        <w:tab/>
        <w:tab/>
        <w:tab/>
        <w:tab/>
        <w:tab/>
        <w:tab/>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jc w:val="center"/>
      <w:rPr>
        <w:rStyle w:val="PageNumber"/>
        <w:sz w:val="16"/>
      </w:rPr>
    </w:pPr>
    <w:r>
      <w:rPr/>
    </w:r>
  </w:p>
  <w:p>
    <w:pPr>
      <w:pStyle w:val="Footer"/>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/mnt/main-storage/datasets/enron-docs/doc/enron_north_america_4th_Amend.doc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u w:val="single"/>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2001-10-23T11:06:00Z</dcterms:created>
  <dc:creator>bethng</dc:creator>
  <dc:description/>
  <dc:language>en-CA</dc:language>
  <cp:lastModifiedBy>bethng</cp:lastModifiedBy>
  <cp:lastPrinted>2001-10-23T10:19:00Z</cp:lastPrinted>
  <dcterms:modified xsi:type="dcterms:W3CDTF">2001-10-23T11:49:00Z</dcterms:modified>
  <cp:revision>3</cp:revision>
  <dc:subject/>
  <dc:title>FOURTH AMENDMENT TO</dc:title>
</cp:coreProperties>
</file>