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782" w:end="0"/>
              <w:jc w:val="end"/>
              <w:rPr>
                <w:b/>
                <w:sz w:val="22"/>
              </w:rPr>
            </w:pPr>
            <w:r>
              <w:rPr>
                <w:b/>
                <w:sz w:val="22"/>
              </w:rPr>
              <w:t>ECT Investments, Inc.</w:t>
            </w:r>
          </w:p>
          <w:p>
            <w:pPr>
              <w:pStyle w:val="Normal"/>
              <w:tabs>
                <w:tab w:val="clear" w:pos="720"/>
                <w:tab w:val="left" w:pos="2412" w:leader="none"/>
              </w:tabs>
              <w:ind w:start="1782" w:end="0"/>
              <w:jc w:val="end"/>
              <w:rPr>
                <w:sz w:val="22"/>
              </w:rPr>
            </w:pPr>
            <w:r>
              <w:rPr>
                <w:i/>
                <w:sz w:val="22"/>
              </w:rPr>
              <w:t>P.O. Box 4428</w:t>
            </w:r>
          </w:p>
          <w:p>
            <w:pPr>
              <w:pStyle w:val="Normal"/>
              <w:tabs>
                <w:tab w:val="clear" w:pos="720"/>
                <w:tab w:val="left" w:pos="2412" w:leader="none"/>
              </w:tabs>
              <w:ind w:start="1782" w:end="0"/>
              <w:jc w:val="end"/>
              <w:rPr>
                <w:sz w:val="22"/>
              </w:rPr>
            </w:pPr>
            <w:r>
              <w:rPr>
                <w:i/>
                <w:sz w:val="22"/>
              </w:rPr>
              <w:t>Houston, TX  77210-4428</w:t>
            </w:r>
          </w:p>
          <w:p>
            <w:pPr>
              <w:pStyle w:val="Normal"/>
              <w:tabs>
                <w:tab w:val="clear" w:pos="720"/>
                <w:tab w:val="left" w:pos="2412" w:leader="none"/>
              </w:tabs>
              <w:ind w:start="1782" w:end="0"/>
              <w:jc w:val="end"/>
              <w:rPr>
                <w:sz w:val="22"/>
              </w:rPr>
            </w:pPr>
            <w:r>
              <w:rPr>
                <w:i/>
                <w:sz w:val="22"/>
              </w:rPr>
              <w:t>Phone: (713) 853-3300</w:t>
            </w:r>
          </w:p>
          <w:p>
            <w:pPr>
              <w:pStyle w:val="Normal"/>
              <w:tabs>
                <w:tab w:val="clear" w:pos="720"/>
                <w:tab w:val="left" w:pos="2412" w:leader="none"/>
              </w:tabs>
              <w:ind w:start="1782" w:end="0"/>
              <w:jc w:val="end"/>
              <w:rPr>
                <w:i/>
                <w:i/>
                <w:sz w:val="22"/>
              </w:rPr>
            </w:pPr>
            <w:r>
              <w:rPr>
                <w:i/>
                <w:sz w:val="22"/>
              </w:rPr>
              <w:t>Fax:  (713) 646-4816</w:t>
            </w:r>
          </w:p>
          <w:p>
            <w:pPr>
              <w:pStyle w:val="Normal"/>
              <w:tabs>
                <w:tab w:val="clear" w:pos="720"/>
                <w:tab w:val="left" w:pos="2412" w:leader="none"/>
              </w:tabs>
              <w:ind w:start="1782" w:end="0"/>
              <w:rPr>
                <w:i/>
                <w:i/>
                <w:sz w:val="22"/>
              </w:rPr>
            </w:pPr>
            <w:r>
              <w:rPr>
                <w:i/>
                <w:sz w:val="22"/>
              </w:rPr>
            </w:r>
          </w:p>
        </w:tc>
      </w:tr>
    </w:tbl>
    <w:p>
      <w:pPr>
        <w:pStyle w:val="Normal"/>
        <w:jc w:val="center"/>
        <w:rPr>
          <w:b/>
          <w:u w:val="single"/>
        </w:rPr>
      </w:pPr>
      <w:r>
        <w:rPr>
          <w:b/>
          <w:u w:val="single"/>
        </w:rPr>
      </w:r>
      <w:r>
        <mc:AlternateContent>
          <mc:Choice Requires="wps">
            <w:drawing>
              <wp:anchor behindDoc="0" distT="0" distB="0" distL="0" distR="114300" simplePos="0" locked="0" layoutInCell="0" allowOverlap="1" relativeHeight="3">
                <wp:simplePos x="0" y="0"/>
                <wp:positionH relativeFrom="column">
                  <wp:align>left</wp:align>
                </wp:positionH>
                <wp:positionV relativeFrom="paragraph">
                  <wp:posOffset>635</wp:posOffset>
                </wp:positionV>
                <wp:extent cx="1157605"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1157605" cy="116840"/>
                        </a:xfrm>
                        <a:prstGeom prst="rect"/>
                        <a:solidFill>
                          <a:srgbClr val="FFFFFF">
                            <a:alpha val="0"/>
                          </a:srgbClr>
                        </a:solidFill>
                      </wps:spPr>
                      <wps:txbx>
                        <w:txbxContent>
                          <w:p>
                            <w:pPr>
                              <w:pStyle w:val="Normal"/>
                              <w:ind w:start="1800" w:end="0"/>
                              <w:jc w:val="center"/>
                              <w:rPr>
                                <w:sz w:val="16"/>
                              </w:rPr>
                            </w:pPr>
                            <w:r>
                              <w:rPr>
                                <w:sz w:val="16"/>
                              </w:rPr>
                            </w:r>
                          </w:p>
                        </w:txbxContent>
                      </wps:txbx>
                      <wps:bodyPr anchor="t" lIns="0" tIns="0" rIns="0" bIns="0">
                        <a:noAutofit/>
                      </wps:bodyPr>
                    </wps:wsp>
                  </a:graphicData>
                </a:graphic>
              </wp:anchor>
            </w:drawing>
          </mc:Choice>
          <mc:Fallback>
            <w:pict>
              <v:rect fillcolor="#FFFFFF" style="position:absolute;rotation:-0;width:91.15pt;height:9.2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ind w:start="1800" w:end="0"/>
                        <w:jc w:val="center"/>
                        <w:rPr>
                          <w:sz w:val="16"/>
                        </w:rPr>
                      </w:pPr>
                      <w:r>
                        <w:rPr>
                          <w:sz w:val="16"/>
                        </w:rPr>
                      </w:r>
                    </w:p>
                  </w:txbxContent>
                </v:textbox>
                <w10:wrap type="square"/>
              </v:rect>
            </w:pict>
          </mc:Fallback>
        </mc:AlternateContent>
      </w:r>
    </w:p>
    <w:p>
      <w:pPr>
        <w:pStyle w:val="Normal"/>
        <w:jc w:val="center"/>
        <w:rPr>
          <w:b/>
          <w:u w:val="single"/>
        </w:rPr>
      </w:pPr>
      <w:r>
        <w:rPr>
          <w:b/>
          <w:u w:val="single"/>
        </w:rPr>
        <w:t>CONFIRMATION</w:t>
      </w:r>
    </w:p>
    <w:p>
      <w:pPr>
        <w:pStyle w:val="Normal"/>
        <w:jc w:val="center"/>
        <w:rPr>
          <w:b/>
          <w:u w:val="single"/>
        </w:rPr>
      </w:pPr>
      <w:r>
        <w:rPr>
          <w:b/>
          <w:u w:val="single"/>
        </w:rPr>
      </w:r>
    </w:p>
    <w:p>
      <w:pPr>
        <w:pStyle w:val="Heading1"/>
        <w:ind w:hanging="0" w:start="0"/>
        <w:rPr/>
      </w:pPr>
      <w:r>
        <w:rPr/>
        <w:t xml:space="preserve">This Revised Confirmation supersedes and replaces all prior Confirmations relating to the </w:t>
      </w:r>
    </w:p>
    <w:p>
      <w:pPr>
        <w:pStyle w:val="Normal"/>
        <w:jc w:val="center"/>
        <w:rPr>
          <w:b/>
        </w:rPr>
      </w:pPr>
      <w:r>
        <w:rPr>
          <w:b/>
        </w:rPr>
        <w:t xml:space="preserve">subject matter hereof, inlcuding the Confirmation dated as of December 3, 1999 made and </w:t>
      </w:r>
    </w:p>
    <w:p>
      <w:pPr>
        <w:pStyle w:val="Normal"/>
        <w:jc w:val="center"/>
        <w:rPr>
          <w:b/>
        </w:rPr>
      </w:pPr>
      <w:r>
        <w:rPr>
          <w:b/>
        </w:rPr>
        <w:t>entered into between the parties hereto.</w:t>
      </w:r>
    </w:p>
    <w:p>
      <w:pPr>
        <w:pStyle w:val="Normal"/>
        <w:jc w:val="center"/>
        <w:rPr>
          <w:b/>
        </w:rPr>
      </w:pPr>
      <w:r>
        <w:rPr>
          <w:b/>
        </w:rPr>
      </w:r>
    </w:p>
    <w:p>
      <w:pPr>
        <w:pStyle w:val="Normal"/>
        <w:jc w:val="center"/>
        <w:rPr>
          <w:b/>
        </w:rPr>
      </w:pPr>
      <w:r>
        <w:rPr>
          <w:b/>
        </w:rPr>
        <w:t>Early Termination Provisions added</w:t>
      </w:r>
    </w:p>
    <w:p>
      <w:pPr>
        <w:pStyle w:val="Normal"/>
        <w:jc w:val="center"/>
        <w:rPr>
          <w:b/>
          <w:u w:val="single"/>
        </w:rPr>
      </w:pPr>
      <w:r>
        <w:rPr>
          <w:b/>
          <w:u w:val="single"/>
        </w:rPr>
      </w:r>
    </w:p>
    <w:p>
      <w:pPr>
        <w:pStyle w:val="Normal"/>
        <w:jc w:val="both"/>
        <w:rPr>
          <w:b/>
          <w:u w:val="single"/>
        </w:rPr>
      </w:pPr>
      <w:r>
        <w:rPr>
          <w:b/>
          <w:u w:val="single"/>
        </w:rPr>
      </w:r>
    </w:p>
    <w:p>
      <w:pPr>
        <w:pStyle w:val="Normal"/>
        <w:jc w:val="both"/>
        <w:rPr/>
      </w:pPr>
      <w:r>
        <w:rPr/>
        <w:t>Date:</w:t>
        <w:tab/>
        <w:tab/>
        <w:t>January 11, 2000</w:t>
      </w:r>
    </w:p>
    <w:p>
      <w:pPr>
        <w:pStyle w:val="Normal"/>
        <w:jc w:val="both"/>
        <w:rPr/>
      </w:pPr>
      <w:r>
        <w:rPr/>
      </w:r>
    </w:p>
    <w:p>
      <w:pPr>
        <w:pStyle w:val="Normal"/>
        <w:jc w:val="both"/>
        <w:rPr/>
      </w:pPr>
      <w:r>
        <w:rPr/>
        <w:t xml:space="preserve">To: </w:t>
        <w:tab/>
        <w:tab/>
        <w:t>Enron Communications Inc. (“Party B”)</w:t>
      </w:r>
    </w:p>
    <w:p>
      <w:pPr>
        <w:pStyle w:val="Normal"/>
        <w:jc w:val="both"/>
        <w:rPr/>
      </w:pPr>
      <w:r>
        <w:rPr/>
      </w:r>
    </w:p>
    <w:p>
      <w:pPr>
        <w:pStyle w:val="Normal"/>
        <w:jc w:val="both"/>
        <w:rPr/>
      </w:pPr>
      <w:r>
        <w:rPr/>
        <w:t>Attention:</w:t>
        <w:tab/>
        <w:t>Tod Lindholm</w:t>
      </w:r>
    </w:p>
    <w:p>
      <w:pPr>
        <w:pStyle w:val="Normal"/>
        <w:jc w:val="both"/>
        <w:rPr/>
      </w:pPr>
      <w:r>
        <w:rPr/>
      </w:r>
    </w:p>
    <w:p>
      <w:pPr>
        <w:pStyle w:val="Normal"/>
        <w:jc w:val="both"/>
        <w:rPr/>
      </w:pPr>
      <w:r>
        <w:rPr/>
        <w:t>From:</w:t>
        <w:tab/>
        <w:tab/>
        <w:t>ECT Investments, Inc. (“Party A”)</w:t>
      </w:r>
    </w:p>
    <w:p>
      <w:pPr>
        <w:pStyle w:val="Normal"/>
        <w:jc w:val="both"/>
        <w:rPr/>
      </w:pPr>
      <w:r>
        <w:rPr/>
      </w:r>
    </w:p>
    <w:p>
      <w:pPr>
        <w:pStyle w:val="Normal"/>
        <w:jc w:val="both"/>
        <w:rPr>
          <w:color w:val="FF0000"/>
        </w:rPr>
      </w:pPr>
      <w:r>
        <w:rPr/>
        <w:t>RE:</w:t>
        <w:tab/>
        <w:tab/>
        <w:t>Equity Swap Transaction</w:t>
      </w:r>
    </w:p>
    <w:p>
      <w:pPr>
        <w:pStyle w:val="Normal"/>
        <w:jc w:val="both"/>
        <w:rPr>
          <w:color w:val="FF0000"/>
        </w:rPr>
      </w:pPr>
      <w:r>
        <w:rPr>
          <w:color w:val="FF0000"/>
        </w:rPr>
      </w:r>
    </w:p>
    <w:p>
      <w:pPr>
        <w:pStyle w:val="Normal"/>
        <w:jc w:val="both"/>
        <w:rPr>
          <w:color w:val="800080"/>
        </w:rPr>
      </w:pPr>
      <w:r>
        <w:rPr>
          <w:color w:val="800080"/>
        </w:rPr>
      </w:r>
    </w:p>
    <w:p>
      <w:pPr>
        <w:pStyle w:val="Normal"/>
        <w:jc w:val="both"/>
        <w:rPr>
          <w:color w:val="800080"/>
        </w:rPr>
      </w:pPr>
      <w:r>
        <w:rPr>
          <w:color w:val="800080"/>
        </w:rPr>
        <w:t>The purpose of this letter agreement is to confirm the terms and conditions of the Transaction entered into between us on the Trade Date specified below (the “Transaction”).  This Confirmation constitutes a “Confirmation” as referred to in the ISDA Agreement specified below.</w:t>
      </w:r>
    </w:p>
    <w:p>
      <w:pPr>
        <w:pStyle w:val="Normal"/>
        <w:jc w:val="both"/>
        <w:rPr>
          <w:color w:val="800080"/>
        </w:rPr>
      </w:pPr>
      <w:r>
        <w:rPr>
          <w:color w:val="800080"/>
        </w:rPr>
      </w:r>
    </w:p>
    <w:p>
      <w:pPr>
        <w:pStyle w:val="Normal"/>
        <w:jc w:val="both"/>
        <w:rPr/>
      </w:pPr>
      <w:r>
        <w:rPr/>
        <w:t>The definitions and provisions contained in the 1996 ISDA Equity Derivatives Definitions (as published by the International Swaps and Derivatives Association, Inc.) (the “Equity Derivatives Definitions”) are incorporated into this Confirmation.  In the event of any inconsistency between the Equity Derivatives Definitions and this Confirmation, this Confirmation will prevail.</w:t>
      </w:r>
    </w:p>
    <w:p>
      <w:pPr>
        <w:pStyle w:val="Normal"/>
        <w:jc w:val="both"/>
        <w:rPr/>
      </w:pPr>
      <w:r>
        <w:rPr/>
      </w:r>
    </w:p>
    <w:p>
      <w:pPr>
        <w:pStyle w:val="Normal"/>
        <w:jc w:val="both"/>
        <w:rPr/>
      </w:pPr>
      <w:r>
        <w:rPr/>
        <w:t>1.</w:t>
        <w:tab/>
        <w:t>This Confirmation evidences a complete and binding agreement between Party A and Party B as to the terms of the transaction to which this Confirmation relates.  In addition Party A and Party B agree to use all reasonable efforts promptly to negotiate, execute and deliver an agreement in the form of the ISDA Master Agreement (Multicurrency-Cross Border) (the "ISDA Form") with such modifications as Party A and Party B will in good faith agree.  Upon execution by Party A and Party B of such an agreement this Confirmation will supplement, form part of, and be subject to that agreement.  All provisions contained or incorporated by reference in that agreement upon its execution will govern this Confirmation except as expressly modified below.  Until we execute and deliver that agreement, this Confirmation, together with all other documents referring to the ISDA Form (each a "Confirmation") and confirming transactions (each a "Transaction") entered into between us (notwithstanding anything to the contrary in a Confirmation), shall supplement, form part of, and be subject to an agreement in the form of the ISDA Form as if we had executed an agreement in such form (but without any Schedule) on the Trade Date of the first such Transaction between us.  In the event of any inconsistency between the provisions of that agreement and this Confirmation, this Confirmation will prevail for the purposes of this transaction.</w:t>
      </w:r>
    </w:p>
    <w:p>
      <w:pPr>
        <w:pStyle w:val="Normal"/>
        <w:jc w:val="both"/>
        <w:rPr>
          <w:sz w:val="22"/>
        </w:rPr>
      </w:pPr>
      <w:r>
        <w:rPr>
          <w:sz w:val="22"/>
        </w:rPr>
      </w:r>
    </w:p>
    <w:p>
      <w:pPr>
        <w:pStyle w:val="BodyText"/>
        <w:tabs>
          <w:tab w:val="clear" w:pos="0"/>
          <w:tab w:val="clear" w:pos="3496"/>
        </w:tabs>
        <w:rPr/>
      </w:pPr>
      <w:r>
        <w:rPr/>
        <w:t>2.</w:t>
        <w:tab/>
        <w:t>The terms of the particular Transaction to which this Confirmation relates are as follows:</w:t>
      </w:r>
    </w:p>
    <w:p>
      <w:pPr>
        <w:pStyle w:val="Normal"/>
        <w:rPr/>
      </w:pPr>
      <w:r>
        <w:rPr/>
      </w:r>
    </w:p>
    <w:p>
      <w:pPr>
        <w:pStyle w:val="Normal"/>
        <w:rPr/>
      </w:pPr>
      <w:r>
        <w:rPr/>
      </w:r>
    </w:p>
    <w:p>
      <w:pPr>
        <w:pStyle w:val="Normal"/>
        <w:rPr/>
      </w:pPr>
      <w:r>
        <w:rPr/>
        <w:t>General Terms:</w:t>
      </w:r>
    </w:p>
    <w:p>
      <w:pPr>
        <w:pStyle w:val="Normal"/>
        <w:rPr/>
      </w:pPr>
      <w:r>
        <w:rPr/>
      </w:r>
    </w:p>
    <w:tbl>
      <w:tblPr>
        <w:tblW w:w="10368" w:type="dxa"/>
        <w:jc w:val="start"/>
        <w:tblInd w:w="0" w:type="dxa"/>
        <w:tblLayout w:type="fixed"/>
        <w:tblCellMar>
          <w:top w:w="0" w:type="dxa"/>
          <w:start w:w="108" w:type="dxa"/>
          <w:bottom w:w="0" w:type="dxa"/>
          <w:end w:w="108" w:type="dxa"/>
        </w:tblCellMar>
      </w:tblPr>
      <w:tblGrid>
        <w:gridCol w:w="3618"/>
        <w:gridCol w:w="90"/>
        <w:gridCol w:w="810"/>
        <w:gridCol w:w="540"/>
        <w:gridCol w:w="3870"/>
        <w:gridCol w:w="90"/>
        <w:gridCol w:w="810"/>
        <w:gridCol w:w="540"/>
      </w:tblGrid>
      <w:tr>
        <w:trPr/>
        <w:tc>
          <w:tcPr>
            <w:tcW w:w="3618" w:type="dxa"/>
            <w:tcBorders/>
          </w:tcPr>
          <w:p>
            <w:pPr>
              <w:pStyle w:val="Normal"/>
              <w:ind w:start="720" w:end="0"/>
              <w:rPr/>
            </w:pPr>
            <w:r>
              <w:rPr/>
              <w:t>Trade Date:</w:t>
            </w:r>
          </w:p>
        </w:tc>
        <w:tc>
          <w:tcPr>
            <w:tcW w:w="5310" w:type="dxa"/>
            <w:gridSpan w:val="4"/>
            <w:tcBorders/>
          </w:tcPr>
          <w:p>
            <w:pPr>
              <w:pStyle w:val="Normal"/>
              <w:rPr/>
            </w:pPr>
            <w:r>
              <w:rPr/>
              <w:t>December 3, 1999</w:t>
            </w:r>
          </w:p>
        </w:tc>
        <w:tc>
          <w:tcPr>
            <w:tcW w:w="1440" w:type="dxa"/>
            <w:gridSpan w:val="3"/>
            <w:tcBorders/>
            <w:tcMar>
              <w:start w:w="0" w:type="dxa"/>
              <w:end w:w="0" w:type="dxa"/>
            </w:tcMar>
          </w:tcPr>
          <w:p>
            <w:pPr>
              <w:pStyle w:val="Normal"/>
              <w:snapToGrid w:val="false"/>
              <w:rPr/>
            </w:pPr>
            <w:r>
              <w:rPr/>
            </w:r>
          </w:p>
        </w:tc>
      </w:tr>
      <w:tr>
        <w:trPr/>
        <w:tc>
          <w:tcPr>
            <w:tcW w:w="3618" w:type="dxa"/>
            <w:tcBorders/>
          </w:tcPr>
          <w:p>
            <w:pPr>
              <w:pStyle w:val="Normal"/>
              <w:snapToGrid w:val="false"/>
              <w:ind w:start="720" w:end="0"/>
              <w:rPr/>
            </w:pPr>
            <w:r>
              <w:rPr/>
            </w:r>
          </w:p>
        </w:tc>
        <w:tc>
          <w:tcPr>
            <w:tcW w:w="5310" w:type="dxa"/>
            <w:gridSpan w:val="4"/>
            <w:tcBorders/>
          </w:tcPr>
          <w:p>
            <w:pPr>
              <w:pStyle w:val="Normal"/>
              <w:snapToGrid w:val="false"/>
              <w:rPr/>
            </w:pPr>
            <w:r>
              <w:rPr/>
            </w:r>
          </w:p>
        </w:tc>
        <w:tc>
          <w:tcPr>
            <w:tcW w:w="1440" w:type="dxa"/>
            <w:gridSpan w:val="3"/>
            <w:tcBorders/>
            <w:tcMar>
              <w:start w:w="0" w:type="dxa"/>
              <w:end w:w="0" w:type="dxa"/>
            </w:tcMar>
          </w:tcPr>
          <w:p>
            <w:pPr>
              <w:pStyle w:val="Normal"/>
              <w:snapToGrid w:val="false"/>
              <w:rPr/>
            </w:pPr>
            <w:r>
              <w:rPr/>
            </w:r>
          </w:p>
        </w:tc>
      </w:tr>
      <w:tr>
        <w:trPr/>
        <w:tc>
          <w:tcPr>
            <w:tcW w:w="3618" w:type="dxa"/>
            <w:tcBorders/>
          </w:tcPr>
          <w:p>
            <w:pPr>
              <w:pStyle w:val="Normal"/>
              <w:ind w:start="720" w:end="0"/>
              <w:rPr/>
            </w:pPr>
            <w:r>
              <w:rPr/>
              <w:t>Effective Date:</w:t>
            </w:r>
          </w:p>
        </w:tc>
        <w:tc>
          <w:tcPr>
            <w:tcW w:w="5310" w:type="dxa"/>
            <w:gridSpan w:val="4"/>
            <w:tcBorders/>
          </w:tcPr>
          <w:p>
            <w:pPr>
              <w:pStyle w:val="Normal"/>
              <w:rPr/>
            </w:pPr>
            <w:r>
              <w:rPr/>
              <w:t>October 19, 1999</w:t>
            </w:r>
          </w:p>
        </w:tc>
        <w:tc>
          <w:tcPr>
            <w:tcW w:w="1440" w:type="dxa"/>
            <w:gridSpan w:val="3"/>
            <w:tcBorders/>
            <w:tcMar>
              <w:start w:w="0" w:type="dxa"/>
              <w:end w:w="0" w:type="dxa"/>
            </w:tcMar>
          </w:tcPr>
          <w:p>
            <w:pPr>
              <w:pStyle w:val="Normal"/>
              <w:snapToGrid w:val="false"/>
              <w:rPr/>
            </w:pPr>
            <w:r>
              <w:rPr/>
            </w:r>
          </w:p>
        </w:tc>
      </w:tr>
      <w:tr>
        <w:trPr/>
        <w:tc>
          <w:tcPr>
            <w:tcW w:w="3618" w:type="dxa"/>
            <w:tcBorders/>
          </w:tcPr>
          <w:p>
            <w:pPr>
              <w:pStyle w:val="Normal"/>
              <w:snapToGrid w:val="false"/>
              <w:ind w:start="720" w:end="0"/>
              <w:rPr/>
            </w:pPr>
            <w:r>
              <w:rPr/>
            </w:r>
          </w:p>
        </w:tc>
        <w:tc>
          <w:tcPr>
            <w:tcW w:w="5310" w:type="dxa"/>
            <w:gridSpan w:val="4"/>
            <w:tcBorders/>
          </w:tcPr>
          <w:p>
            <w:pPr>
              <w:pStyle w:val="Normal"/>
              <w:snapToGrid w:val="false"/>
              <w:rPr/>
            </w:pPr>
            <w:r>
              <w:rPr/>
            </w:r>
          </w:p>
        </w:tc>
        <w:tc>
          <w:tcPr>
            <w:tcW w:w="1440" w:type="dxa"/>
            <w:gridSpan w:val="3"/>
            <w:tcBorders/>
            <w:tcMar>
              <w:start w:w="0" w:type="dxa"/>
              <w:end w:w="0" w:type="dxa"/>
            </w:tcMar>
          </w:tcPr>
          <w:p>
            <w:pPr>
              <w:pStyle w:val="Normal"/>
              <w:snapToGrid w:val="false"/>
              <w:rPr/>
            </w:pPr>
            <w:r>
              <w:rPr/>
            </w:r>
          </w:p>
        </w:tc>
      </w:tr>
      <w:tr>
        <w:trPr/>
        <w:tc>
          <w:tcPr>
            <w:tcW w:w="3618" w:type="dxa"/>
            <w:tcBorders/>
          </w:tcPr>
          <w:p>
            <w:pPr>
              <w:pStyle w:val="Normal"/>
              <w:ind w:start="720" w:end="0"/>
              <w:rPr/>
            </w:pPr>
            <w:r>
              <w:rPr/>
              <w:t>Termination Date:</w:t>
            </w:r>
          </w:p>
        </w:tc>
        <w:tc>
          <w:tcPr>
            <w:tcW w:w="5310" w:type="dxa"/>
            <w:gridSpan w:val="4"/>
            <w:tcBorders/>
          </w:tcPr>
          <w:p>
            <w:pPr>
              <w:pStyle w:val="Normal"/>
              <w:rPr/>
            </w:pPr>
            <w:r>
              <w:rPr/>
              <w:t>December 31, 2000</w:t>
            </w:r>
          </w:p>
        </w:tc>
        <w:tc>
          <w:tcPr>
            <w:tcW w:w="1440" w:type="dxa"/>
            <w:gridSpan w:val="3"/>
            <w:tcBorders/>
            <w:tcMar>
              <w:start w:w="0" w:type="dxa"/>
              <w:end w:w="0" w:type="dxa"/>
            </w:tcMar>
          </w:tcPr>
          <w:p>
            <w:pPr>
              <w:pStyle w:val="Normal"/>
              <w:snapToGrid w:val="false"/>
              <w:rPr/>
            </w:pPr>
            <w:r>
              <w:rPr/>
            </w:r>
          </w:p>
        </w:tc>
      </w:tr>
      <w:tr>
        <w:trPr/>
        <w:tc>
          <w:tcPr>
            <w:tcW w:w="3618" w:type="dxa"/>
            <w:tcBorders/>
          </w:tcPr>
          <w:p>
            <w:pPr>
              <w:pStyle w:val="Normal"/>
              <w:snapToGrid w:val="false"/>
              <w:ind w:start="720" w:end="0"/>
              <w:rPr/>
            </w:pPr>
            <w:r>
              <w:rPr/>
            </w:r>
          </w:p>
        </w:tc>
        <w:tc>
          <w:tcPr>
            <w:tcW w:w="5310" w:type="dxa"/>
            <w:gridSpan w:val="4"/>
            <w:tcBorders/>
          </w:tcPr>
          <w:p>
            <w:pPr>
              <w:pStyle w:val="Normal"/>
              <w:snapToGrid w:val="false"/>
              <w:rPr/>
            </w:pPr>
            <w:r>
              <w:rPr/>
            </w:r>
          </w:p>
        </w:tc>
        <w:tc>
          <w:tcPr>
            <w:tcW w:w="1440" w:type="dxa"/>
            <w:gridSpan w:val="3"/>
            <w:tcBorders/>
            <w:tcMar>
              <w:start w:w="0" w:type="dxa"/>
              <w:end w:w="0" w:type="dxa"/>
            </w:tcMar>
          </w:tcPr>
          <w:p>
            <w:pPr>
              <w:pStyle w:val="Normal"/>
              <w:snapToGrid w:val="false"/>
              <w:rPr/>
            </w:pPr>
            <w:r>
              <w:rPr/>
            </w:r>
          </w:p>
        </w:tc>
      </w:tr>
      <w:tr>
        <w:trPr/>
        <w:tc>
          <w:tcPr>
            <w:tcW w:w="3618" w:type="dxa"/>
            <w:tcBorders/>
          </w:tcPr>
          <w:p>
            <w:pPr>
              <w:pStyle w:val="Normal"/>
              <w:ind w:start="720" w:end="0"/>
              <w:rPr/>
            </w:pPr>
            <w:r>
              <w:rPr/>
              <w:t>Shares:</w:t>
            </w:r>
          </w:p>
        </w:tc>
        <w:tc>
          <w:tcPr>
            <w:tcW w:w="5310" w:type="dxa"/>
            <w:gridSpan w:val="4"/>
            <w:tcBorders/>
          </w:tcPr>
          <w:p>
            <w:pPr>
              <w:pStyle w:val="Normal"/>
              <w:rPr/>
            </w:pPr>
            <w:r>
              <w:rPr/>
              <w:t>The common stock of Sycamore Networks Inc. (“SCMR”)</w:t>
            </w:r>
          </w:p>
        </w:tc>
        <w:tc>
          <w:tcPr>
            <w:tcW w:w="1440" w:type="dxa"/>
            <w:gridSpan w:val="3"/>
            <w:tcBorders/>
            <w:tcMar>
              <w:start w:w="0" w:type="dxa"/>
              <w:end w:w="0" w:type="dxa"/>
            </w:tcMar>
          </w:tcPr>
          <w:p>
            <w:pPr>
              <w:pStyle w:val="Normal"/>
              <w:snapToGrid w:val="false"/>
              <w:rPr/>
            </w:pPr>
            <w:r>
              <w:rPr/>
            </w:r>
          </w:p>
        </w:tc>
      </w:tr>
      <w:tr>
        <w:trPr/>
        <w:tc>
          <w:tcPr>
            <w:tcW w:w="3618" w:type="dxa"/>
            <w:tcBorders/>
          </w:tcPr>
          <w:p>
            <w:pPr>
              <w:pStyle w:val="Normal"/>
              <w:snapToGrid w:val="false"/>
              <w:ind w:start="720" w:end="0"/>
              <w:rPr/>
            </w:pPr>
            <w:r>
              <w:rPr/>
            </w:r>
          </w:p>
        </w:tc>
        <w:tc>
          <w:tcPr>
            <w:tcW w:w="5310" w:type="dxa"/>
            <w:gridSpan w:val="4"/>
            <w:tcBorders/>
          </w:tcPr>
          <w:p>
            <w:pPr>
              <w:pStyle w:val="Normal"/>
              <w:snapToGrid w:val="false"/>
              <w:rPr/>
            </w:pPr>
            <w:r>
              <w:rPr/>
            </w:r>
          </w:p>
        </w:tc>
        <w:tc>
          <w:tcPr>
            <w:tcW w:w="1440" w:type="dxa"/>
            <w:gridSpan w:val="3"/>
            <w:tcBorders/>
            <w:tcMar>
              <w:start w:w="0" w:type="dxa"/>
              <w:end w:w="0" w:type="dxa"/>
            </w:tcMar>
          </w:tcPr>
          <w:p>
            <w:pPr>
              <w:pStyle w:val="Normal"/>
              <w:snapToGrid w:val="false"/>
              <w:rPr/>
            </w:pPr>
            <w:r>
              <w:rPr/>
            </w:r>
          </w:p>
        </w:tc>
      </w:tr>
      <w:tr>
        <w:trPr/>
        <w:tc>
          <w:tcPr>
            <w:tcW w:w="3618" w:type="dxa"/>
            <w:tcBorders/>
          </w:tcPr>
          <w:p>
            <w:pPr>
              <w:pStyle w:val="Normal"/>
              <w:ind w:start="720" w:end="0"/>
              <w:rPr/>
            </w:pPr>
            <w:r>
              <w:rPr/>
              <w:t>Exchange(s):</w:t>
            </w:r>
          </w:p>
        </w:tc>
        <w:tc>
          <w:tcPr>
            <w:tcW w:w="5310" w:type="dxa"/>
            <w:gridSpan w:val="4"/>
            <w:tcBorders/>
          </w:tcPr>
          <w:p>
            <w:pPr>
              <w:pStyle w:val="Normal"/>
              <w:rPr/>
            </w:pPr>
            <w:r>
              <w:rPr/>
              <w:t>NASDAQ</w:t>
            </w:r>
          </w:p>
        </w:tc>
        <w:tc>
          <w:tcPr>
            <w:tcW w:w="1440" w:type="dxa"/>
            <w:gridSpan w:val="3"/>
            <w:tcBorders/>
            <w:tcMar>
              <w:start w:w="0" w:type="dxa"/>
              <w:end w:w="0" w:type="dxa"/>
            </w:tcMar>
          </w:tcPr>
          <w:p>
            <w:pPr>
              <w:pStyle w:val="Normal"/>
              <w:snapToGrid w:val="false"/>
              <w:rPr/>
            </w:pPr>
            <w:r>
              <w:rPr/>
            </w:r>
          </w:p>
        </w:tc>
      </w:tr>
      <w:tr>
        <w:trPr/>
        <w:tc>
          <w:tcPr>
            <w:tcW w:w="3618" w:type="dxa"/>
            <w:tcBorders/>
          </w:tcPr>
          <w:p>
            <w:pPr>
              <w:pStyle w:val="Normal"/>
              <w:snapToGrid w:val="false"/>
              <w:ind w:start="720" w:end="0"/>
              <w:rPr/>
            </w:pPr>
            <w:r>
              <w:rPr/>
            </w:r>
          </w:p>
        </w:tc>
        <w:tc>
          <w:tcPr>
            <w:tcW w:w="5310" w:type="dxa"/>
            <w:gridSpan w:val="4"/>
            <w:tcBorders/>
          </w:tcPr>
          <w:p>
            <w:pPr>
              <w:pStyle w:val="Normal"/>
              <w:snapToGrid w:val="false"/>
              <w:rPr/>
            </w:pPr>
            <w:r>
              <w:rPr/>
            </w:r>
          </w:p>
        </w:tc>
        <w:tc>
          <w:tcPr>
            <w:tcW w:w="1440" w:type="dxa"/>
            <w:gridSpan w:val="3"/>
            <w:tcBorders/>
            <w:tcMar>
              <w:start w:w="0" w:type="dxa"/>
              <w:end w:w="0" w:type="dxa"/>
            </w:tcMar>
          </w:tcPr>
          <w:p>
            <w:pPr>
              <w:pStyle w:val="Normal"/>
              <w:snapToGrid w:val="false"/>
              <w:rPr/>
            </w:pPr>
            <w:r>
              <w:rPr/>
            </w:r>
          </w:p>
        </w:tc>
      </w:tr>
      <w:tr>
        <w:trPr/>
        <w:tc>
          <w:tcPr>
            <w:tcW w:w="3618" w:type="dxa"/>
            <w:tcBorders/>
          </w:tcPr>
          <w:p>
            <w:pPr>
              <w:pStyle w:val="Normal"/>
              <w:ind w:start="720" w:end="0"/>
              <w:rPr/>
            </w:pPr>
            <w:r>
              <w:rPr/>
              <w:t>Related Exchange(s):</w:t>
            </w:r>
          </w:p>
        </w:tc>
        <w:tc>
          <w:tcPr>
            <w:tcW w:w="5310" w:type="dxa"/>
            <w:gridSpan w:val="4"/>
            <w:tcBorders/>
          </w:tcPr>
          <w:p>
            <w:pPr>
              <w:pStyle w:val="Normal"/>
              <w:rPr/>
            </w:pPr>
            <w:r>
              <w:rPr/>
              <w:t>Not Applicable</w:t>
            </w:r>
          </w:p>
        </w:tc>
        <w:tc>
          <w:tcPr>
            <w:tcW w:w="1440" w:type="dxa"/>
            <w:gridSpan w:val="3"/>
            <w:tcBorders/>
            <w:tcMar>
              <w:start w:w="0" w:type="dxa"/>
              <w:end w:w="0" w:type="dxa"/>
            </w:tcMar>
          </w:tcPr>
          <w:p>
            <w:pPr>
              <w:pStyle w:val="Normal"/>
              <w:snapToGrid w:val="false"/>
              <w:rPr/>
            </w:pPr>
            <w:r>
              <w:rPr/>
            </w:r>
          </w:p>
        </w:tc>
      </w:tr>
      <w:tr>
        <w:trPr/>
        <w:tc>
          <w:tcPr>
            <w:tcW w:w="3618" w:type="dxa"/>
            <w:tcBorders/>
          </w:tcPr>
          <w:p>
            <w:pPr>
              <w:pStyle w:val="Normal"/>
              <w:snapToGrid w:val="false"/>
              <w:ind w:start="720" w:end="0"/>
              <w:rPr/>
            </w:pPr>
            <w:r>
              <w:rPr/>
            </w:r>
          </w:p>
        </w:tc>
        <w:tc>
          <w:tcPr>
            <w:tcW w:w="5310" w:type="dxa"/>
            <w:gridSpan w:val="4"/>
            <w:tcBorders/>
          </w:tcPr>
          <w:p>
            <w:pPr>
              <w:pStyle w:val="Normal"/>
              <w:snapToGrid w:val="false"/>
              <w:rPr/>
            </w:pPr>
            <w:r>
              <w:rPr/>
            </w:r>
          </w:p>
        </w:tc>
        <w:tc>
          <w:tcPr>
            <w:tcW w:w="1440" w:type="dxa"/>
            <w:gridSpan w:val="3"/>
            <w:tcBorders/>
            <w:tcMar>
              <w:start w:w="0" w:type="dxa"/>
              <w:end w:w="0" w:type="dxa"/>
            </w:tcMar>
          </w:tcPr>
          <w:p>
            <w:pPr>
              <w:pStyle w:val="Normal"/>
              <w:snapToGrid w:val="false"/>
              <w:rPr/>
            </w:pPr>
            <w:r>
              <w:rPr/>
            </w:r>
          </w:p>
        </w:tc>
      </w:tr>
      <w:tr>
        <w:trPr/>
        <w:tc>
          <w:tcPr>
            <w:tcW w:w="3618" w:type="dxa"/>
            <w:tcBorders/>
          </w:tcPr>
          <w:p>
            <w:pPr>
              <w:pStyle w:val="Normal"/>
              <w:ind w:start="720" w:end="0"/>
              <w:rPr/>
            </w:pPr>
            <w:r>
              <w:rPr/>
              <w:t>Calculation Agent:</w:t>
            </w:r>
          </w:p>
        </w:tc>
        <w:tc>
          <w:tcPr>
            <w:tcW w:w="5310" w:type="dxa"/>
            <w:gridSpan w:val="4"/>
            <w:tcBorders/>
          </w:tcPr>
          <w:p>
            <w:pPr>
              <w:pStyle w:val="Normal"/>
              <w:rPr/>
            </w:pPr>
            <w:r>
              <w:rPr/>
              <w:t>Party A</w:t>
            </w:r>
          </w:p>
        </w:tc>
        <w:tc>
          <w:tcPr>
            <w:tcW w:w="1440" w:type="dxa"/>
            <w:gridSpan w:val="3"/>
            <w:tcBorders/>
            <w:tcMar>
              <w:start w:w="0" w:type="dxa"/>
              <w:end w:w="0" w:type="dxa"/>
            </w:tcMar>
          </w:tcPr>
          <w:p>
            <w:pPr>
              <w:pStyle w:val="Normal"/>
              <w:snapToGrid w:val="false"/>
              <w:rPr/>
            </w:pPr>
            <w:r>
              <w:rPr/>
            </w:r>
          </w:p>
        </w:tc>
      </w:tr>
      <w:tr>
        <w:trPr/>
        <w:tc>
          <w:tcPr>
            <w:tcW w:w="5058" w:type="dxa"/>
            <w:gridSpan w:val="4"/>
            <w:tcBorders/>
          </w:tcPr>
          <w:p>
            <w:pPr>
              <w:pStyle w:val="Normal"/>
              <w:snapToGrid w:val="false"/>
              <w:ind w:start="720" w:end="0"/>
              <w:rPr/>
            </w:pPr>
            <w:r>
              <w:rPr/>
            </w:r>
          </w:p>
        </w:tc>
        <w:tc>
          <w:tcPr>
            <w:tcW w:w="5310" w:type="dxa"/>
            <w:gridSpan w:val="4"/>
            <w:tcBorders/>
          </w:tcPr>
          <w:p>
            <w:pPr>
              <w:pStyle w:val="Normal"/>
              <w:snapToGrid w:val="false"/>
              <w:rPr/>
            </w:pPr>
            <w:r>
              <w:rPr/>
            </w:r>
          </w:p>
        </w:tc>
      </w:tr>
      <w:tr>
        <w:trPr/>
        <w:tc>
          <w:tcPr>
            <w:tcW w:w="5058" w:type="dxa"/>
            <w:gridSpan w:val="4"/>
            <w:tcBorders/>
          </w:tcPr>
          <w:p>
            <w:pPr>
              <w:pStyle w:val="Normal"/>
              <w:rPr/>
            </w:pPr>
            <w:r>
              <w:rPr/>
              <w:t>Equity Amounts Payable by Equity Amount Payer:</w:t>
            </w:r>
          </w:p>
        </w:tc>
        <w:tc>
          <w:tcPr>
            <w:tcW w:w="5310" w:type="dxa"/>
            <w:gridSpan w:val="4"/>
            <w:tcBorders/>
          </w:tcPr>
          <w:p>
            <w:pPr>
              <w:pStyle w:val="Normal"/>
              <w:snapToGrid w:val="false"/>
              <w:rPr/>
            </w:pPr>
            <w:r>
              <w:rPr/>
            </w:r>
          </w:p>
        </w:tc>
      </w:tr>
      <w:tr>
        <w:trPr/>
        <w:tc>
          <w:tcPr>
            <w:tcW w:w="361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1440" w:type="dxa"/>
            <w:gridSpan w:val="3"/>
            <w:tcBorders/>
            <w:tcMar>
              <w:start w:w="0" w:type="dxa"/>
              <w:end w:w="0" w:type="dxa"/>
            </w:tcMar>
          </w:tcPr>
          <w:p>
            <w:pPr>
              <w:pStyle w:val="Normal"/>
              <w:snapToGrid w:val="false"/>
              <w:rPr/>
            </w:pPr>
            <w:r>
              <w:rPr/>
            </w:r>
          </w:p>
        </w:tc>
      </w:tr>
      <w:tr>
        <w:trPr/>
        <w:tc>
          <w:tcPr>
            <w:tcW w:w="3618" w:type="dxa"/>
            <w:tcBorders/>
          </w:tcPr>
          <w:p>
            <w:pPr>
              <w:pStyle w:val="Normal"/>
              <w:ind w:start="630" w:end="0"/>
              <w:rPr/>
            </w:pPr>
            <w:r>
              <w:rPr/>
              <w:t>Equity Amount Payer:</w:t>
            </w:r>
          </w:p>
        </w:tc>
        <w:tc>
          <w:tcPr>
            <w:tcW w:w="5310" w:type="dxa"/>
            <w:gridSpan w:val="4"/>
            <w:tcBorders/>
          </w:tcPr>
          <w:p>
            <w:pPr>
              <w:pStyle w:val="Normal"/>
              <w:rPr/>
            </w:pPr>
            <w:r>
              <w:rPr/>
              <w:t>Party A</w:t>
            </w:r>
          </w:p>
        </w:tc>
        <w:tc>
          <w:tcPr>
            <w:tcW w:w="1440" w:type="dxa"/>
            <w:gridSpan w:val="3"/>
            <w:tcBorders/>
            <w:tcMar>
              <w:start w:w="0" w:type="dxa"/>
              <w:end w:w="0" w:type="dxa"/>
            </w:tcMar>
          </w:tcPr>
          <w:p>
            <w:pPr>
              <w:pStyle w:val="Normal"/>
              <w:snapToGrid w:val="false"/>
              <w:rPr/>
            </w:pPr>
            <w:r>
              <w:rPr/>
            </w:r>
          </w:p>
        </w:tc>
      </w:tr>
      <w:tr>
        <w:trPr/>
        <w:tc>
          <w:tcPr>
            <w:tcW w:w="361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1440" w:type="dxa"/>
            <w:gridSpan w:val="3"/>
            <w:tcBorders/>
            <w:tcMar>
              <w:start w:w="0" w:type="dxa"/>
              <w:end w:w="0" w:type="dxa"/>
            </w:tcMar>
          </w:tcPr>
          <w:p>
            <w:pPr>
              <w:pStyle w:val="Normal"/>
              <w:snapToGrid w:val="false"/>
              <w:rPr/>
            </w:pPr>
            <w:r>
              <w:rPr/>
            </w:r>
          </w:p>
        </w:tc>
      </w:tr>
      <w:tr>
        <w:trPr/>
        <w:tc>
          <w:tcPr>
            <w:tcW w:w="3618" w:type="dxa"/>
            <w:tcBorders/>
          </w:tcPr>
          <w:p>
            <w:pPr>
              <w:pStyle w:val="Normal"/>
              <w:ind w:start="630" w:end="0"/>
              <w:rPr/>
            </w:pPr>
            <w:r>
              <w:rPr/>
              <w:t>Number of Shares:</w:t>
            </w:r>
          </w:p>
        </w:tc>
        <w:tc>
          <w:tcPr>
            <w:tcW w:w="5310" w:type="dxa"/>
            <w:gridSpan w:val="4"/>
            <w:tcBorders/>
          </w:tcPr>
          <w:p>
            <w:pPr>
              <w:pStyle w:val="Normal"/>
              <w:rPr/>
            </w:pPr>
            <w:r>
              <w:rPr/>
              <w:t>37,500</w:t>
            </w:r>
          </w:p>
        </w:tc>
        <w:tc>
          <w:tcPr>
            <w:tcW w:w="1440" w:type="dxa"/>
            <w:gridSpan w:val="3"/>
            <w:tcBorders/>
            <w:tcMar>
              <w:start w:w="0" w:type="dxa"/>
              <w:end w:w="0" w:type="dxa"/>
            </w:tcMar>
          </w:tcPr>
          <w:p>
            <w:pPr>
              <w:pStyle w:val="Normal"/>
              <w:snapToGrid w:val="false"/>
              <w:rPr/>
            </w:pPr>
            <w:r>
              <w:rPr/>
            </w:r>
          </w:p>
        </w:tc>
      </w:tr>
      <w:tr>
        <w:trPr/>
        <w:tc>
          <w:tcPr>
            <w:tcW w:w="361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1440" w:type="dxa"/>
            <w:gridSpan w:val="3"/>
            <w:tcBorders/>
            <w:tcMar>
              <w:start w:w="0" w:type="dxa"/>
              <w:end w:w="0" w:type="dxa"/>
            </w:tcMar>
          </w:tcPr>
          <w:p>
            <w:pPr>
              <w:pStyle w:val="Normal"/>
              <w:snapToGrid w:val="false"/>
              <w:rPr/>
            </w:pPr>
            <w:r>
              <w:rPr/>
            </w:r>
          </w:p>
        </w:tc>
      </w:tr>
      <w:tr>
        <w:trPr/>
        <w:tc>
          <w:tcPr>
            <w:tcW w:w="3618" w:type="dxa"/>
            <w:tcBorders/>
          </w:tcPr>
          <w:p>
            <w:pPr>
              <w:pStyle w:val="Normal"/>
              <w:ind w:start="630" w:end="0"/>
              <w:rPr/>
            </w:pPr>
            <w:r>
              <w:rPr/>
              <w:t>Equity Notional Amount:</w:t>
            </w:r>
          </w:p>
        </w:tc>
        <w:tc>
          <w:tcPr>
            <w:tcW w:w="5310" w:type="dxa"/>
            <w:gridSpan w:val="4"/>
            <w:tcBorders/>
          </w:tcPr>
          <w:p>
            <w:pPr>
              <w:pStyle w:val="Normal"/>
              <w:rPr/>
            </w:pPr>
            <w:r>
              <w:rPr/>
              <w:t>USD 1,425,000.00</w:t>
            </w:r>
          </w:p>
        </w:tc>
        <w:tc>
          <w:tcPr>
            <w:tcW w:w="1440" w:type="dxa"/>
            <w:gridSpan w:val="3"/>
            <w:tcBorders/>
            <w:tcMar>
              <w:start w:w="0" w:type="dxa"/>
              <w:end w:w="0" w:type="dxa"/>
            </w:tcMar>
          </w:tcPr>
          <w:p>
            <w:pPr>
              <w:pStyle w:val="Normal"/>
              <w:snapToGrid w:val="false"/>
              <w:rPr/>
            </w:pPr>
            <w:r>
              <w:rPr/>
            </w:r>
          </w:p>
        </w:tc>
      </w:tr>
      <w:tr>
        <w:trPr/>
        <w:tc>
          <w:tcPr>
            <w:tcW w:w="361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1440" w:type="dxa"/>
            <w:gridSpan w:val="3"/>
            <w:tcBorders/>
            <w:tcMar>
              <w:start w:w="0" w:type="dxa"/>
              <w:end w:w="0" w:type="dxa"/>
            </w:tcMar>
          </w:tcPr>
          <w:p>
            <w:pPr>
              <w:pStyle w:val="Normal"/>
              <w:snapToGrid w:val="false"/>
              <w:rPr/>
            </w:pPr>
            <w:r>
              <w:rPr/>
            </w:r>
          </w:p>
        </w:tc>
      </w:tr>
      <w:tr>
        <w:trPr/>
        <w:tc>
          <w:tcPr>
            <w:tcW w:w="3618" w:type="dxa"/>
            <w:tcBorders/>
          </w:tcPr>
          <w:p>
            <w:pPr>
              <w:pStyle w:val="Normal"/>
              <w:ind w:start="630" w:end="0"/>
              <w:rPr/>
            </w:pPr>
            <w:r>
              <w:rPr/>
              <w:t>Equity  Notional Reset:</w:t>
            </w:r>
          </w:p>
        </w:tc>
        <w:tc>
          <w:tcPr>
            <w:tcW w:w="5310" w:type="dxa"/>
            <w:gridSpan w:val="4"/>
            <w:tcBorders/>
          </w:tcPr>
          <w:p>
            <w:pPr>
              <w:pStyle w:val="Normal"/>
              <w:rPr/>
            </w:pPr>
            <w:r>
              <w:rPr/>
              <w:t>Applicable</w:t>
            </w:r>
          </w:p>
        </w:tc>
        <w:tc>
          <w:tcPr>
            <w:tcW w:w="1440" w:type="dxa"/>
            <w:gridSpan w:val="3"/>
            <w:tcBorders/>
            <w:tcMar>
              <w:start w:w="0" w:type="dxa"/>
              <w:end w:w="0" w:type="dxa"/>
            </w:tcMar>
          </w:tcPr>
          <w:p>
            <w:pPr>
              <w:pStyle w:val="Normal"/>
              <w:snapToGrid w:val="false"/>
              <w:rPr/>
            </w:pPr>
            <w:r>
              <w:rPr/>
            </w:r>
          </w:p>
        </w:tc>
      </w:tr>
      <w:tr>
        <w:trPr/>
        <w:tc>
          <w:tcPr>
            <w:tcW w:w="361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1440" w:type="dxa"/>
            <w:gridSpan w:val="3"/>
            <w:tcBorders/>
            <w:tcMar>
              <w:start w:w="0" w:type="dxa"/>
              <w:end w:w="0" w:type="dxa"/>
            </w:tcMar>
          </w:tcPr>
          <w:p>
            <w:pPr>
              <w:pStyle w:val="Normal"/>
              <w:snapToGrid w:val="false"/>
              <w:rPr/>
            </w:pPr>
            <w:r>
              <w:rPr/>
            </w:r>
          </w:p>
        </w:tc>
      </w:tr>
      <w:tr>
        <w:trPr/>
        <w:tc>
          <w:tcPr>
            <w:tcW w:w="3618" w:type="dxa"/>
            <w:tcBorders/>
          </w:tcPr>
          <w:p>
            <w:pPr>
              <w:pStyle w:val="Normal"/>
              <w:ind w:start="630" w:end="0"/>
              <w:rPr/>
            </w:pPr>
            <w:r>
              <w:rPr/>
              <w:t>Equity Payment Dates:</w:t>
            </w:r>
          </w:p>
        </w:tc>
        <w:tc>
          <w:tcPr>
            <w:tcW w:w="5310" w:type="dxa"/>
            <w:gridSpan w:val="4"/>
            <w:tcBorders/>
          </w:tcPr>
          <w:p>
            <w:pPr>
              <w:pStyle w:val="Normal"/>
              <w:rPr/>
            </w:pPr>
            <w:r>
              <w:rPr/>
              <w:t xml:space="preserve">Three Currency Business Days following each Valuation Date </w:t>
            </w:r>
          </w:p>
        </w:tc>
        <w:tc>
          <w:tcPr>
            <w:tcW w:w="1440" w:type="dxa"/>
            <w:gridSpan w:val="3"/>
            <w:tcBorders/>
            <w:tcMar>
              <w:start w:w="0" w:type="dxa"/>
              <w:end w:w="0" w:type="dxa"/>
            </w:tcMar>
          </w:tcPr>
          <w:p>
            <w:pPr>
              <w:pStyle w:val="Normal"/>
              <w:snapToGrid w:val="false"/>
              <w:rPr/>
            </w:pPr>
            <w:r>
              <w:rPr/>
            </w:r>
          </w:p>
        </w:tc>
      </w:tr>
      <w:tr>
        <w:trPr/>
        <w:tc>
          <w:tcPr>
            <w:tcW w:w="361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1440" w:type="dxa"/>
            <w:gridSpan w:val="3"/>
            <w:tcBorders/>
            <w:tcMar>
              <w:start w:w="0" w:type="dxa"/>
              <w:end w:w="0" w:type="dxa"/>
            </w:tcMar>
          </w:tcPr>
          <w:p>
            <w:pPr>
              <w:pStyle w:val="Normal"/>
              <w:snapToGrid w:val="false"/>
              <w:rPr/>
            </w:pPr>
            <w:r>
              <w:rPr/>
            </w:r>
          </w:p>
        </w:tc>
      </w:tr>
      <w:tr>
        <w:trPr/>
        <w:tc>
          <w:tcPr>
            <w:tcW w:w="3618" w:type="dxa"/>
            <w:tcBorders/>
          </w:tcPr>
          <w:p>
            <w:pPr>
              <w:pStyle w:val="Normal"/>
              <w:ind w:start="630" w:end="0"/>
              <w:rPr/>
            </w:pPr>
            <w:r>
              <w:rPr/>
              <w:t>Type of Return:</w:t>
            </w:r>
          </w:p>
        </w:tc>
        <w:tc>
          <w:tcPr>
            <w:tcW w:w="5310" w:type="dxa"/>
            <w:gridSpan w:val="4"/>
            <w:tcBorders/>
          </w:tcPr>
          <w:p>
            <w:pPr>
              <w:pStyle w:val="Normal"/>
              <w:rPr/>
            </w:pPr>
            <w:r>
              <w:rPr/>
              <w:t>Total Return</w:t>
            </w:r>
          </w:p>
        </w:tc>
        <w:tc>
          <w:tcPr>
            <w:tcW w:w="1440" w:type="dxa"/>
            <w:gridSpan w:val="3"/>
            <w:tcBorders/>
            <w:tcMar>
              <w:start w:w="0" w:type="dxa"/>
              <w:end w:w="0" w:type="dxa"/>
            </w:tcMar>
          </w:tcPr>
          <w:p>
            <w:pPr>
              <w:pStyle w:val="Normal"/>
              <w:snapToGrid w:val="false"/>
              <w:rPr/>
            </w:pPr>
            <w:r>
              <w:rPr/>
            </w:r>
          </w:p>
        </w:tc>
      </w:tr>
      <w:tr>
        <w:trPr/>
        <w:tc>
          <w:tcPr>
            <w:tcW w:w="361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1440" w:type="dxa"/>
            <w:gridSpan w:val="3"/>
            <w:tcBorders/>
            <w:tcMar>
              <w:start w:w="0" w:type="dxa"/>
              <w:end w:w="0" w:type="dxa"/>
            </w:tcMar>
          </w:tcPr>
          <w:p>
            <w:pPr>
              <w:pStyle w:val="Normal"/>
              <w:snapToGrid w:val="false"/>
              <w:rPr/>
            </w:pPr>
            <w:r>
              <w:rPr/>
            </w:r>
          </w:p>
        </w:tc>
      </w:tr>
      <w:tr>
        <w:trPr/>
        <w:tc>
          <w:tcPr>
            <w:tcW w:w="3618" w:type="dxa"/>
            <w:tcBorders/>
          </w:tcPr>
          <w:p>
            <w:pPr>
              <w:pStyle w:val="Normal"/>
              <w:ind w:start="630" w:end="0"/>
              <w:rPr/>
            </w:pPr>
            <w:r>
              <w:rPr/>
              <w:t>Initial Price:</w:t>
            </w:r>
          </w:p>
        </w:tc>
        <w:tc>
          <w:tcPr>
            <w:tcW w:w="5310" w:type="dxa"/>
            <w:gridSpan w:val="4"/>
            <w:tcBorders/>
          </w:tcPr>
          <w:p>
            <w:pPr>
              <w:pStyle w:val="Normal"/>
              <w:rPr/>
            </w:pPr>
            <w:r>
              <w:rPr/>
              <w:t>USD 38.00</w:t>
            </w:r>
          </w:p>
        </w:tc>
        <w:tc>
          <w:tcPr>
            <w:tcW w:w="1440" w:type="dxa"/>
            <w:gridSpan w:val="3"/>
            <w:tcBorders/>
            <w:tcMar>
              <w:start w:w="0" w:type="dxa"/>
              <w:end w:w="0" w:type="dxa"/>
            </w:tcMar>
          </w:tcPr>
          <w:p>
            <w:pPr>
              <w:pStyle w:val="Normal"/>
              <w:snapToGrid w:val="false"/>
              <w:rPr/>
            </w:pPr>
            <w:r>
              <w:rPr/>
            </w:r>
          </w:p>
        </w:tc>
      </w:tr>
      <w:tr>
        <w:trPr/>
        <w:tc>
          <w:tcPr>
            <w:tcW w:w="361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1440" w:type="dxa"/>
            <w:gridSpan w:val="3"/>
            <w:tcBorders/>
            <w:tcMar>
              <w:start w:w="0" w:type="dxa"/>
              <w:end w:w="0" w:type="dxa"/>
            </w:tcMar>
          </w:tcPr>
          <w:p>
            <w:pPr>
              <w:pStyle w:val="Normal"/>
              <w:snapToGrid w:val="false"/>
              <w:rPr/>
            </w:pPr>
            <w:r>
              <w:rPr/>
            </w:r>
          </w:p>
        </w:tc>
      </w:tr>
      <w:tr>
        <w:trPr/>
        <w:tc>
          <w:tcPr>
            <w:tcW w:w="3618" w:type="dxa"/>
            <w:tcBorders/>
          </w:tcPr>
          <w:p>
            <w:pPr>
              <w:pStyle w:val="Normal"/>
              <w:ind w:start="630" w:end="0"/>
              <w:rPr/>
            </w:pPr>
            <w:r>
              <w:rPr/>
              <w:t>Final Price:</w:t>
            </w:r>
          </w:p>
        </w:tc>
        <w:tc>
          <w:tcPr>
            <w:tcW w:w="5310" w:type="dxa"/>
            <w:gridSpan w:val="4"/>
            <w:tcBorders/>
          </w:tcPr>
          <w:p>
            <w:pPr>
              <w:pStyle w:val="Normal"/>
              <w:jc w:val="both"/>
              <w:rPr/>
            </w:pPr>
            <w:r>
              <w:rPr/>
              <w:t>The closing price, with the exception of the final Equity Amount where the Final Price shall be equal to the Hedge Price.</w:t>
            </w:r>
          </w:p>
        </w:tc>
        <w:tc>
          <w:tcPr>
            <w:tcW w:w="1440" w:type="dxa"/>
            <w:gridSpan w:val="3"/>
            <w:tcBorders/>
            <w:tcMar>
              <w:start w:w="0" w:type="dxa"/>
              <w:end w:w="0" w:type="dxa"/>
            </w:tcMar>
          </w:tcPr>
          <w:p>
            <w:pPr>
              <w:pStyle w:val="Normal"/>
              <w:snapToGrid w:val="false"/>
              <w:rPr/>
            </w:pPr>
            <w:r>
              <w:rPr/>
            </w:r>
          </w:p>
        </w:tc>
      </w:tr>
      <w:tr>
        <w:trPr/>
        <w:tc>
          <w:tcPr>
            <w:tcW w:w="3618" w:type="dxa"/>
            <w:tcBorders/>
          </w:tcPr>
          <w:p>
            <w:pPr>
              <w:pStyle w:val="Normal"/>
              <w:snapToGrid w:val="false"/>
              <w:ind w:start="630" w:end="0"/>
              <w:rPr/>
            </w:pPr>
            <w:r>
              <w:rPr/>
            </w:r>
          </w:p>
        </w:tc>
        <w:tc>
          <w:tcPr>
            <w:tcW w:w="5310" w:type="dxa"/>
            <w:gridSpan w:val="4"/>
            <w:tcBorders/>
          </w:tcPr>
          <w:p>
            <w:pPr>
              <w:pStyle w:val="Normal"/>
              <w:snapToGrid w:val="false"/>
              <w:jc w:val="both"/>
              <w:rPr/>
            </w:pPr>
            <w:r>
              <w:rPr/>
            </w:r>
          </w:p>
        </w:tc>
        <w:tc>
          <w:tcPr>
            <w:tcW w:w="1440" w:type="dxa"/>
            <w:gridSpan w:val="3"/>
            <w:tcBorders/>
            <w:tcMar>
              <w:start w:w="0" w:type="dxa"/>
              <w:end w:w="0" w:type="dxa"/>
            </w:tcMar>
          </w:tcPr>
          <w:p>
            <w:pPr>
              <w:pStyle w:val="Normal"/>
              <w:snapToGrid w:val="false"/>
              <w:rPr/>
            </w:pPr>
            <w:r>
              <w:rPr/>
            </w:r>
          </w:p>
        </w:tc>
      </w:tr>
      <w:tr>
        <w:trPr/>
        <w:tc>
          <w:tcPr>
            <w:tcW w:w="3618" w:type="dxa"/>
            <w:tcBorders/>
          </w:tcPr>
          <w:p>
            <w:pPr>
              <w:pStyle w:val="Normal"/>
              <w:ind w:start="630" w:end="0"/>
              <w:rPr/>
            </w:pPr>
            <w:r>
              <w:rPr/>
              <w:t>Hedge Price:</w:t>
            </w:r>
          </w:p>
        </w:tc>
        <w:tc>
          <w:tcPr>
            <w:tcW w:w="5310" w:type="dxa"/>
            <w:gridSpan w:val="4"/>
            <w:tcBorders/>
          </w:tcPr>
          <w:p>
            <w:pPr>
              <w:pStyle w:val="Normal"/>
              <w:jc w:val="both"/>
              <w:rPr/>
            </w:pPr>
            <w:r>
              <w:rPr/>
              <w:t xml:space="preserve">The weighted average price at which Party A buys the  Shares in connection with the Transaction </w:t>
            </w:r>
          </w:p>
        </w:tc>
        <w:tc>
          <w:tcPr>
            <w:tcW w:w="1440" w:type="dxa"/>
            <w:gridSpan w:val="3"/>
            <w:tcBorders/>
            <w:tcMar>
              <w:start w:w="0" w:type="dxa"/>
              <w:end w:w="0" w:type="dxa"/>
            </w:tcMar>
          </w:tcPr>
          <w:p>
            <w:pPr>
              <w:pStyle w:val="Normal"/>
              <w:snapToGrid w:val="false"/>
              <w:rPr/>
            </w:pPr>
            <w:r>
              <w:rPr/>
            </w:r>
          </w:p>
        </w:tc>
      </w:tr>
      <w:tr>
        <w:trPr/>
        <w:tc>
          <w:tcPr>
            <w:tcW w:w="361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1440" w:type="dxa"/>
            <w:gridSpan w:val="3"/>
            <w:tcBorders/>
            <w:tcMar>
              <w:start w:w="0" w:type="dxa"/>
              <w:end w:w="0" w:type="dxa"/>
            </w:tcMar>
          </w:tcPr>
          <w:p>
            <w:pPr>
              <w:pStyle w:val="Normal"/>
              <w:snapToGrid w:val="false"/>
              <w:rPr/>
            </w:pPr>
            <w:r>
              <w:rPr/>
            </w:r>
          </w:p>
        </w:tc>
      </w:tr>
      <w:tr>
        <w:trPr/>
        <w:tc>
          <w:tcPr>
            <w:tcW w:w="3618" w:type="dxa"/>
            <w:tcBorders/>
          </w:tcPr>
          <w:p>
            <w:pPr>
              <w:pStyle w:val="Normal"/>
              <w:ind w:start="630" w:end="0"/>
              <w:rPr/>
            </w:pPr>
            <w:r>
              <w:rPr/>
              <w:t>Valuation Time:</w:t>
            </w:r>
          </w:p>
        </w:tc>
        <w:tc>
          <w:tcPr>
            <w:tcW w:w="5310" w:type="dxa"/>
            <w:gridSpan w:val="4"/>
            <w:tcBorders/>
          </w:tcPr>
          <w:p>
            <w:pPr>
              <w:pStyle w:val="Normal"/>
              <w:rPr/>
            </w:pPr>
            <w:r>
              <w:rPr/>
              <w:t>At the close of trading on the relevant Exchange(s)</w:t>
            </w:r>
          </w:p>
        </w:tc>
        <w:tc>
          <w:tcPr>
            <w:tcW w:w="1440" w:type="dxa"/>
            <w:gridSpan w:val="3"/>
            <w:tcBorders/>
            <w:tcMar>
              <w:start w:w="0" w:type="dxa"/>
              <w:end w:w="0" w:type="dxa"/>
            </w:tcMar>
          </w:tcPr>
          <w:p>
            <w:pPr>
              <w:pStyle w:val="Normal"/>
              <w:snapToGrid w:val="false"/>
              <w:rPr/>
            </w:pPr>
            <w:r>
              <w:rPr/>
            </w:r>
          </w:p>
        </w:tc>
      </w:tr>
      <w:tr>
        <w:trPr/>
        <w:tc>
          <w:tcPr>
            <w:tcW w:w="361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1440" w:type="dxa"/>
            <w:gridSpan w:val="3"/>
            <w:tcBorders/>
            <w:tcMar>
              <w:start w:w="0" w:type="dxa"/>
              <w:end w:w="0" w:type="dxa"/>
            </w:tcMar>
          </w:tcPr>
          <w:p>
            <w:pPr>
              <w:pStyle w:val="Normal"/>
              <w:snapToGrid w:val="false"/>
              <w:rPr/>
            </w:pPr>
            <w:r>
              <w:rPr/>
            </w:r>
          </w:p>
        </w:tc>
      </w:tr>
      <w:tr>
        <w:trPr/>
        <w:tc>
          <w:tcPr>
            <w:tcW w:w="3618" w:type="dxa"/>
            <w:tcBorders/>
          </w:tcPr>
          <w:p>
            <w:pPr>
              <w:pStyle w:val="Normal"/>
              <w:ind w:start="630" w:end="0"/>
              <w:rPr/>
            </w:pPr>
            <w:r>
              <w:rPr/>
              <w:t>Valuation Dates:</w:t>
            </w:r>
          </w:p>
        </w:tc>
        <w:tc>
          <w:tcPr>
            <w:tcW w:w="5310" w:type="dxa"/>
            <w:gridSpan w:val="4"/>
            <w:tcBorders/>
          </w:tcPr>
          <w:p>
            <w:pPr>
              <w:pStyle w:val="Normal"/>
              <w:rPr/>
            </w:pPr>
            <w:r>
              <w:rPr/>
              <w:t>The Termination Date</w:t>
            </w:r>
          </w:p>
        </w:tc>
        <w:tc>
          <w:tcPr>
            <w:tcW w:w="1440" w:type="dxa"/>
            <w:gridSpan w:val="3"/>
            <w:tcBorders/>
            <w:tcMar>
              <w:start w:w="0" w:type="dxa"/>
              <w:end w:w="0" w:type="dxa"/>
            </w:tcMar>
          </w:tcPr>
          <w:p>
            <w:pPr>
              <w:pStyle w:val="Normal"/>
              <w:snapToGrid w:val="false"/>
              <w:rPr/>
            </w:pPr>
            <w:r>
              <w:rPr/>
            </w:r>
          </w:p>
        </w:tc>
      </w:tr>
      <w:tr>
        <w:trPr/>
        <w:tc>
          <w:tcPr>
            <w:tcW w:w="361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1440" w:type="dxa"/>
            <w:gridSpan w:val="3"/>
            <w:tcBorders/>
            <w:tcMar>
              <w:start w:w="0" w:type="dxa"/>
              <w:end w:w="0" w:type="dxa"/>
            </w:tcMar>
          </w:tcPr>
          <w:p>
            <w:pPr>
              <w:pStyle w:val="Normal"/>
              <w:snapToGrid w:val="false"/>
              <w:rPr/>
            </w:pPr>
            <w:r>
              <w:rPr/>
            </w:r>
          </w:p>
        </w:tc>
      </w:tr>
      <w:tr>
        <w:trPr/>
        <w:tc>
          <w:tcPr>
            <w:tcW w:w="3618" w:type="dxa"/>
            <w:tcBorders/>
          </w:tcPr>
          <w:p>
            <w:pPr>
              <w:pStyle w:val="Normal"/>
              <w:ind w:start="630" w:end="0"/>
              <w:rPr/>
            </w:pPr>
            <w:r>
              <w:rPr/>
              <w:t>Dividend Payment Dates:</w:t>
            </w:r>
          </w:p>
        </w:tc>
        <w:tc>
          <w:tcPr>
            <w:tcW w:w="5310" w:type="dxa"/>
            <w:gridSpan w:val="4"/>
            <w:tcBorders/>
          </w:tcPr>
          <w:p>
            <w:pPr>
              <w:pStyle w:val="Normal"/>
              <w:jc w:val="both"/>
              <w:rPr/>
            </w:pPr>
            <w:r>
              <w:rPr/>
              <w:t>The Equity Payment Date relating to the Valuation Date on which the relevant Dividend Period ends.</w:t>
            </w:r>
          </w:p>
        </w:tc>
        <w:tc>
          <w:tcPr>
            <w:tcW w:w="1440" w:type="dxa"/>
            <w:gridSpan w:val="3"/>
            <w:tcBorders/>
            <w:tcMar>
              <w:start w:w="0" w:type="dxa"/>
              <w:end w:w="0" w:type="dxa"/>
            </w:tcMar>
          </w:tcPr>
          <w:p>
            <w:pPr>
              <w:pStyle w:val="Normal"/>
              <w:snapToGrid w:val="false"/>
              <w:rPr/>
            </w:pPr>
            <w:r>
              <w:rPr/>
            </w:r>
          </w:p>
        </w:tc>
      </w:tr>
      <w:tr>
        <w:trPr/>
        <w:tc>
          <w:tcPr>
            <w:tcW w:w="361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1440" w:type="dxa"/>
            <w:gridSpan w:val="3"/>
            <w:tcBorders/>
            <w:tcMar>
              <w:start w:w="0" w:type="dxa"/>
              <w:end w:w="0" w:type="dxa"/>
            </w:tcMar>
          </w:tcPr>
          <w:p>
            <w:pPr>
              <w:pStyle w:val="Normal"/>
              <w:snapToGrid w:val="false"/>
              <w:rPr/>
            </w:pPr>
            <w:r>
              <w:rPr/>
            </w:r>
          </w:p>
        </w:tc>
      </w:tr>
      <w:tr>
        <w:trPr/>
        <w:tc>
          <w:tcPr>
            <w:tcW w:w="3618" w:type="dxa"/>
            <w:tcBorders/>
          </w:tcPr>
          <w:p>
            <w:pPr>
              <w:pStyle w:val="Normal"/>
              <w:ind w:start="630" w:end="0"/>
              <w:rPr/>
            </w:pPr>
            <w:r>
              <w:rPr/>
              <w:t>Dividend Amount</w:t>
            </w:r>
          </w:p>
        </w:tc>
        <w:tc>
          <w:tcPr>
            <w:tcW w:w="5310" w:type="dxa"/>
            <w:gridSpan w:val="4"/>
            <w:tcBorders/>
          </w:tcPr>
          <w:p>
            <w:pPr>
              <w:pStyle w:val="Normal"/>
              <w:jc w:val="both"/>
              <w:rPr/>
            </w:pPr>
            <w:r>
              <w:rPr/>
              <w:t>100% of all ordinary cash dividends where: (i) the exdividend date occurs during the period from the day following the Trade Date to and including the final Valuation Date and (ii) the date on which the related ordinary cash dividend would have been received by persons who held the Shares comprising the Basket during such period is during the relevant</w:t>
            </w:r>
            <w:r>
              <w:rPr>
                <w:b/>
              </w:rPr>
              <w:t xml:space="preserve"> </w:t>
            </w:r>
            <w:r>
              <w:rPr/>
              <w:t>Dividend Period multiplied by the Number</w:t>
            </w:r>
          </w:p>
        </w:tc>
        <w:tc>
          <w:tcPr>
            <w:tcW w:w="1440" w:type="dxa"/>
            <w:gridSpan w:val="3"/>
            <w:tcBorders/>
            <w:tcMar>
              <w:start w:w="0" w:type="dxa"/>
              <w:end w:w="0" w:type="dxa"/>
            </w:tcMar>
          </w:tcPr>
          <w:p>
            <w:pPr>
              <w:pStyle w:val="Normal"/>
              <w:snapToGrid w:val="false"/>
              <w:rPr/>
            </w:pPr>
            <w:r>
              <w:rPr/>
            </w:r>
          </w:p>
        </w:tc>
      </w:tr>
      <w:tr>
        <w:trPr/>
        <w:tc>
          <w:tcPr>
            <w:tcW w:w="361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1440" w:type="dxa"/>
            <w:gridSpan w:val="3"/>
            <w:tcBorders/>
            <w:tcMar>
              <w:start w:w="0" w:type="dxa"/>
              <w:end w:w="0" w:type="dxa"/>
            </w:tcMar>
          </w:tcPr>
          <w:p>
            <w:pPr>
              <w:pStyle w:val="Normal"/>
              <w:snapToGrid w:val="false"/>
              <w:rPr/>
            </w:pPr>
            <w:r>
              <w:rPr/>
            </w:r>
          </w:p>
        </w:tc>
      </w:tr>
      <w:tr>
        <w:trPr/>
        <w:tc>
          <w:tcPr>
            <w:tcW w:w="3618" w:type="dxa"/>
            <w:tcBorders/>
          </w:tcPr>
          <w:p>
            <w:pPr>
              <w:pStyle w:val="Normal"/>
              <w:ind w:start="630" w:end="0"/>
              <w:rPr/>
            </w:pPr>
            <w:r>
              <w:rPr/>
              <w:t>Reinvestment of Dividends:</w:t>
            </w:r>
          </w:p>
        </w:tc>
        <w:tc>
          <w:tcPr>
            <w:tcW w:w="5310" w:type="dxa"/>
            <w:gridSpan w:val="4"/>
            <w:tcBorders/>
          </w:tcPr>
          <w:p>
            <w:pPr>
              <w:pStyle w:val="Normal"/>
              <w:rPr/>
            </w:pPr>
            <w:r>
              <w:rPr/>
              <w:t>Inapplicable</w:t>
            </w:r>
          </w:p>
        </w:tc>
        <w:tc>
          <w:tcPr>
            <w:tcW w:w="1440" w:type="dxa"/>
            <w:gridSpan w:val="3"/>
            <w:tcBorders/>
            <w:tcMar>
              <w:start w:w="0" w:type="dxa"/>
              <w:end w:w="0" w:type="dxa"/>
            </w:tcMar>
          </w:tcPr>
          <w:p>
            <w:pPr>
              <w:pStyle w:val="Normal"/>
              <w:snapToGrid w:val="false"/>
              <w:rPr/>
            </w:pPr>
            <w:r>
              <w:rPr/>
            </w:r>
          </w:p>
        </w:tc>
      </w:tr>
      <w:tr>
        <w:trPr/>
        <w:tc>
          <w:tcPr>
            <w:tcW w:w="361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1440" w:type="dxa"/>
            <w:gridSpan w:val="3"/>
            <w:tcBorders/>
            <w:tcMar>
              <w:start w:w="0" w:type="dxa"/>
              <w:end w:w="0" w:type="dxa"/>
            </w:tcMar>
          </w:tcPr>
          <w:p>
            <w:pPr>
              <w:pStyle w:val="Normal"/>
              <w:snapToGrid w:val="false"/>
              <w:rPr/>
            </w:pPr>
            <w:r>
              <w:rPr/>
            </w:r>
          </w:p>
        </w:tc>
      </w:tr>
      <w:tr>
        <w:trPr/>
        <w:tc>
          <w:tcPr>
            <w:tcW w:w="4518" w:type="dxa"/>
            <w:gridSpan w:val="3"/>
            <w:tcBorders/>
          </w:tcPr>
          <w:p>
            <w:pPr>
              <w:pStyle w:val="Normal"/>
              <w:snapToGrid w:val="false"/>
              <w:rPr/>
            </w:pPr>
            <w:r>
              <w:rPr/>
            </w:r>
          </w:p>
          <w:p>
            <w:pPr>
              <w:pStyle w:val="Normal"/>
              <w:rPr/>
            </w:pPr>
            <w:r>
              <w:rPr/>
              <w:t>Floating Amounts Payable by Floating Amount Payer:</w:t>
            </w:r>
          </w:p>
        </w:tc>
        <w:tc>
          <w:tcPr>
            <w:tcW w:w="5310" w:type="dxa"/>
            <w:gridSpan w:val="4"/>
            <w:tcBorders/>
          </w:tcPr>
          <w:p>
            <w:pPr>
              <w:pStyle w:val="Normal"/>
              <w:snapToGrid w:val="false"/>
              <w:rPr/>
            </w:pPr>
            <w:r>
              <w:rPr/>
            </w:r>
          </w:p>
        </w:tc>
        <w:tc>
          <w:tcPr>
            <w:tcW w:w="540" w:type="dxa"/>
            <w:tcBorders/>
            <w:tcMar>
              <w:start w:w="0" w:type="dxa"/>
              <w:end w:w="0" w:type="dxa"/>
            </w:tcMar>
          </w:tcPr>
          <w:p>
            <w:pPr>
              <w:pStyle w:val="Normal"/>
              <w:snapToGrid w:val="false"/>
              <w:rPr/>
            </w:pPr>
            <w:r>
              <w:rPr/>
            </w:r>
          </w:p>
        </w:tc>
      </w:tr>
      <w:tr>
        <w:trPr/>
        <w:tc>
          <w:tcPr>
            <w:tcW w:w="4518" w:type="dxa"/>
            <w:gridSpan w:val="3"/>
            <w:tcBorders/>
          </w:tcPr>
          <w:p>
            <w:pPr>
              <w:pStyle w:val="Normal"/>
              <w:snapToGrid w:val="false"/>
              <w:rPr/>
            </w:pPr>
            <w:r>
              <w:rPr/>
            </w:r>
          </w:p>
        </w:tc>
        <w:tc>
          <w:tcPr>
            <w:tcW w:w="5310" w:type="dxa"/>
            <w:gridSpan w:val="4"/>
            <w:tcBorders/>
          </w:tcPr>
          <w:p>
            <w:pPr>
              <w:pStyle w:val="Normal"/>
              <w:snapToGrid w:val="false"/>
              <w:rPr/>
            </w:pPr>
            <w:r>
              <w:rPr/>
            </w:r>
          </w:p>
        </w:tc>
        <w:tc>
          <w:tcPr>
            <w:tcW w:w="540" w:type="dxa"/>
            <w:tcBorders/>
            <w:tcMar>
              <w:start w:w="0" w:type="dxa"/>
              <w:end w:w="0" w:type="dxa"/>
            </w:tcMar>
          </w:tcPr>
          <w:p>
            <w:pPr>
              <w:pStyle w:val="Normal"/>
              <w:snapToGrid w:val="false"/>
              <w:rPr/>
            </w:pPr>
            <w:r>
              <w:rPr/>
            </w:r>
          </w:p>
        </w:tc>
      </w:tr>
      <w:tr>
        <w:trPr/>
        <w:tc>
          <w:tcPr>
            <w:tcW w:w="3708" w:type="dxa"/>
            <w:gridSpan w:val="2"/>
            <w:tcBorders/>
          </w:tcPr>
          <w:p>
            <w:pPr>
              <w:pStyle w:val="Normal"/>
              <w:ind w:start="720" w:end="0"/>
              <w:rPr/>
            </w:pPr>
            <w:r>
              <w:rPr/>
              <w:t>Floating Amount Payer:</w:t>
            </w:r>
          </w:p>
        </w:tc>
        <w:tc>
          <w:tcPr>
            <w:tcW w:w="5310" w:type="dxa"/>
            <w:gridSpan w:val="4"/>
            <w:tcBorders/>
          </w:tcPr>
          <w:p>
            <w:pPr>
              <w:pStyle w:val="Normal"/>
              <w:rPr/>
            </w:pPr>
            <w:r>
              <w:rPr/>
              <w:t>Party B</w:t>
            </w:r>
          </w:p>
        </w:tc>
        <w:tc>
          <w:tcPr>
            <w:tcW w:w="1350" w:type="dxa"/>
            <w:gridSpan w:val="2"/>
            <w:tcBorders/>
            <w:tcMar>
              <w:start w:w="0" w:type="dxa"/>
              <w:end w:w="0" w:type="dxa"/>
            </w:tcMar>
          </w:tcPr>
          <w:p>
            <w:pPr>
              <w:pStyle w:val="Normal"/>
              <w:snapToGrid w:val="false"/>
              <w:rPr/>
            </w:pPr>
            <w:r>
              <w:rPr/>
            </w:r>
          </w:p>
        </w:tc>
      </w:tr>
      <w:tr>
        <w:trPr/>
        <w:tc>
          <w:tcPr>
            <w:tcW w:w="370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1350" w:type="dxa"/>
            <w:gridSpan w:val="2"/>
            <w:tcBorders/>
            <w:tcMar>
              <w:start w:w="0" w:type="dxa"/>
              <w:end w:w="0" w:type="dxa"/>
            </w:tcMar>
          </w:tcPr>
          <w:p>
            <w:pPr>
              <w:pStyle w:val="Normal"/>
              <w:snapToGrid w:val="false"/>
              <w:rPr/>
            </w:pPr>
            <w:r>
              <w:rPr/>
            </w:r>
          </w:p>
        </w:tc>
      </w:tr>
      <w:tr>
        <w:trPr/>
        <w:tc>
          <w:tcPr>
            <w:tcW w:w="3708" w:type="dxa"/>
            <w:gridSpan w:val="2"/>
            <w:tcBorders/>
          </w:tcPr>
          <w:p>
            <w:pPr>
              <w:pStyle w:val="Normal"/>
              <w:ind w:start="720" w:end="0"/>
              <w:rPr/>
            </w:pPr>
            <w:r>
              <w:rPr/>
              <w:t>Notional Amount:</w:t>
            </w:r>
          </w:p>
        </w:tc>
        <w:tc>
          <w:tcPr>
            <w:tcW w:w="5310" w:type="dxa"/>
            <w:gridSpan w:val="4"/>
            <w:tcBorders/>
          </w:tcPr>
          <w:p>
            <w:pPr>
              <w:pStyle w:val="Normal"/>
              <w:jc w:val="both"/>
              <w:rPr/>
            </w:pPr>
            <w:r>
              <w:rPr/>
              <w:t>The Equity Notional Amount (adjusted in accordance with Section 7.11(c) of the 1996 Definitions)</w:t>
            </w:r>
          </w:p>
        </w:tc>
        <w:tc>
          <w:tcPr>
            <w:tcW w:w="1350" w:type="dxa"/>
            <w:gridSpan w:val="2"/>
            <w:tcBorders/>
            <w:tcMar>
              <w:start w:w="0" w:type="dxa"/>
              <w:end w:w="0" w:type="dxa"/>
            </w:tcMar>
          </w:tcPr>
          <w:p>
            <w:pPr>
              <w:pStyle w:val="Normal"/>
              <w:snapToGrid w:val="false"/>
              <w:rPr/>
            </w:pPr>
            <w:r>
              <w:rPr/>
            </w:r>
          </w:p>
        </w:tc>
      </w:tr>
      <w:tr>
        <w:trPr/>
        <w:tc>
          <w:tcPr>
            <w:tcW w:w="370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1350" w:type="dxa"/>
            <w:gridSpan w:val="2"/>
            <w:tcBorders/>
            <w:tcMar>
              <w:start w:w="0" w:type="dxa"/>
              <w:end w:w="0" w:type="dxa"/>
            </w:tcMar>
          </w:tcPr>
          <w:p>
            <w:pPr>
              <w:pStyle w:val="Normal"/>
              <w:snapToGrid w:val="false"/>
              <w:rPr/>
            </w:pPr>
            <w:r>
              <w:rPr/>
            </w:r>
          </w:p>
        </w:tc>
      </w:tr>
      <w:tr>
        <w:trPr/>
        <w:tc>
          <w:tcPr>
            <w:tcW w:w="3708" w:type="dxa"/>
            <w:gridSpan w:val="2"/>
            <w:tcBorders/>
          </w:tcPr>
          <w:p>
            <w:pPr>
              <w:pStyle w:val="Normal"/>
              <w:ind w:start="720" w:end="0"/>
              <w:rPr/>
            </w:pPr>
            <w:r>
              <w:rPr/>
              <w:t>Payment Dates:</w:t>
            </w:r>
          </w:p>
        </w:tc>
        <w:tc>
          <w:tcPr>
            <w:tcW w:w="5310" w:type="dxa"/>
            <w:gridSpan w:val="4"/>
            <w:tcBorders/>
          </w:tcPr>
          <w:p>
            <w:pPr>
              <w:pStyle w:val="Normal"/>
              <w:rPr/>
            </w:pPr>
            <w:r>
              <w:rPr/>
              <w:t>Each Equity Payment Date</w:t>
            </w:r>
          </w:p>
        </w:tc>
        <w:tc>
          <w:tcPr>
            <w:tcW w:w="1350" w:type="dxa"/>
            <w:gridSpan w:val="2"/>
            <w:tcBorders/>
            <w:tcMar>
              <w:start w:w="0" w:type="dxa"/>
              <w:end w:w="0" w:type="dxa"/>
            </w:tcMar>
          </w:tcPr>
          <w:p>
            <w:pPr>
              <w:pStyle w:val="Normal"/>
              <w:snapToGrid w:val="false"/>
              <w:rPr/>
            </w:pPr>
            <w:r>
              <w:rPr/>
            </w:r>
          </w:p>
        </w:tc>
      </w:tr>
      <w:tr>
        <w:trPr/>
        <w:tc>
          <w:tcPr>
            <w:tcW w:w="370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1350" w:type="dxa"/>
            <w:gridSpan w:val="2"/>
            <w:tcBorders/>
            <w:tcMar>
              <w:start w:w="0" w:type="dxa"/>
              <w:end w:w="0" w:type="dxa"/>
            </w:tcMar>
          </w:tcPr>
          <w:p>
            <w:pPr>
              <w:pStyle w:val="Normal"/>
              <w:snapToGrid w:val="false"/>
              <w:rPr/>
            </w:pPr>
            <w:r>
              <w:rPr/>
            </w:r>
          </w:p>
        </w:tc>
      </w:tr>
      <w:tr>
        <w:trPr/>
        <w:tc>
          <w:tcPr>
            <w:tcW w:w="3708" w:type="dxa"/>
            <w:gridSpan w:val="2"/>
            <w:tcBorders/>
          </w:tcPr>
          <w:p>
            <w:pPr>
              <w:pStyle w:val="Normal"/>
              <w:ind w:start="720" w:end="0"/>
              <w:rPr/>
            </w:pPr>
            <w:r>
              <w:rPr/>
              <w:t>Floating Rate Option:</w:t>
            </w:r>
          </w:p>
        </w:tc>
        <w:tc>
          <w:tcPr>
            <w:tcW w:w="5310" w:type="dxa"/>
            <w:gridSpan w:val="4"/>
            <w:tcBorders/>
          </w:tcPr>
          <w:p>
            <w:pPr>
              <w:pStyle w:val="Normal"/>
              <w:rPr/>
            </w:pPr>
            <w:r>
              <w:rPr/>
              <w:t>USD-Federal Funds-H.15</w:t>
            </w:r>
          </w:p>
        </w:tc>
        <w:tc>
          <w:tcPr>
            <w:tcW w:w="1350" w:type="dxa"/>
            <w:gridSpan w:val="2"/>
            <w:tcBorders/>
            <w:tcMar>
              <w:start w:w="0" w:type="dxa"/>
              <w:end w:w="0" w:type="dxa"/>
            </w:tcMar>
          </w:tcPr>
          <w:p>
            <w:pPr>
              <w:pStyle w:val="Normal"/>
              <w:snapToGrid w:val="false"/>
              <w:rPr/>
            </w:pPr>
            <w:r>
              <w:rPr/>
            </w:r>
          </w:p>
        </w:tc>
      </w:tr>
      <w:tr>
        <w:trPr/>
        <w:tc>
          <w:tcPr>
            <w:tcW w:w="370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1350" w:type="dxa"/>
            <w:gridSpan w:val="2"/>
            <w:tcBorders/>
            <w:tcMar>
              <w:start w:w="0" w:type="dxa"/>
              <w:end w:w="0" w:type="dxa"/>
            </w:tcMar>
          </w:tcPr>
          <w:p>
            <w:pPr>
              <w:pStyle w:val="Normal"/>
              <w:snapToGrid w:val="false"/>
              <w:rPr/>
            </w:pPr>
            <w:r>
              <w:rPr/>
            </w:r>
          </w:p>
        </w:tc>
      </w:tr>
      <w:tr>
        <w:trPr/>
        <w:tc>
          <w:tcPr>
            <w:tcW w:w="3708" w:type="dxa"/>
            <w:gridSpan w:val="2"/>
            <w:tcBorders/>
          </w:tcPr>
          <w:p>
            <w:pPr>
              <w:pStyle w:val="Normal"/>
              <w:ind w:start="720" w:end="0"/>
              <w:rPr/>
            </w:pPr>
            <w:r>
              <w:rPr/>
              <w:t>Spread:</w:t>
            </w:r>
          </w:p>
        </w:tc>
        <w:tc>
          <w:tcPr>
            <w:tcW w:w="5310" w:type="dxa"/>
            <w:gridSpan w:val="4"/>
            <w:tcBorders/>
          </w:tcPr>
          <w:p>
            <w:pPr>
              <w:pStyle w:val="Normal"/>
              <w:rPr/>
            </w:pPr>
            <w:r>
              <w:rPr/>
              <w:t>Plus 1 percent</w:t>
            </w:r>
          </w:p>
        </w:tc>
        <w:tc>
          <w:tcPr>
            <w:tcW w:w="1350" w:type="dxa"/>
            <w:gridSpan w:val="2"/>
            <w:tcBorders/>
            <w:tcMar>
              <w:start w:w="0" w:type="dxa"/>
              <w:end w:w="0" w:type="dxa"/>
            </w:tcMar>
          </w:tcPr>
          <w:p>
            <w:pPr>
              <w:pStyle w:val="Normal"/>
              <w:snapToGrid w:val="false"/>
              <w:rPr/>
            </w:pPr>
            <w:r>
              <w:rPr/>
            </w:r>
          </w:p>
        </w:tc>
      </w:tr>
      <w:tr>
        <w:trPr/>
        <w:tc>
          <w:tcPr>
            <w:tcW w:w="370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1350" w:type="dxa"/>
            <w:gridSpan w:val="2"/>
            <w:tcBorders/>
            <w:tcMar>
              <w:start w:w="0" w:type="dxa"/>
              <w:end w:w="0" w:type="dxa"/>
            </w:tcMar>
          </w:tcPr>
          <w:p>
            <w:pPr>
              <w:pStyle w:val="Normal"/>
              <w:snapToGrid w:val="false"/>
              <w:rPr/>
            </w:pPr>
            <w:r>
              <w:rPr/>
            </w:r>
          </w:p>
        </w:tc>
      </w:tr>
      <w:tr>
        <w:trPr/>
        <w:tc>
          <w:tcPr>
            <w:tcW w:w="3708" w:type="dxa"/>
            <w:gridSpan w:val="2"/>
            <w:tcBorders/>
          </w:tcPr>
          <w:p>
            <w:pPr>
              <w:pStyle w:val="Normal"/>
              <w:ind w:start="720" w:end="0"/>
              <w:rPr/>
            </w:pPr>
            <w:r>
              <w:rPr/>
              <w:t>Floating Rate Day Count Fraction:</w:t>
            </w:r>
          </w:p>
        </w:tc>
        <w:tc>
          <w:tcPr>
            <w:tcW w:w="5310" w:type="dxa"/>
            <w:gridSpan w:val="4"/>
            <w:tcBorders/>
          </w:tcPr>
          <w:p>
            <w:pPr>
              <w:pStyle w:val="Normal"/>
              <w:rPr/>
            </w:pPr>
            <w:r>
              <w:rPr/>
              <w:t>Actual/360</w:t>
            </w:r>
          </w:p>
        </w:tc>
        <w:tc>
          <w:tcPr>
            <w:tcW w:w="1350" w:type="dxa"/>
            <w:gridSpan w:val="2"/>
            <w:tcBorders/>
            <w:tcMar>
              <w:start w:w="0" w:type="dxa"/>
              <w:end w:w="0" w:type="dxa"/>
            </w:tcMar>
          </w:tcPr>
          <w:p>
            <w:pPr>
              <w:pStyle w:val="Normal"/>
              <w:snapToGrid w:val="false"/>
              <w:rPr/>
            </w:pPr>
            <w:r>
              <w:rPr/>
            </w:r>
          </w:p>
        </w:tc>
      </w:tr>
      <w:tr>
        <w:trPr/>
        <w:tc>
          <w:tcPr>
            <w:tcW w:w="370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1350" w:type="dxa"/>
            <w:gridSpan w:val="2"/>
            <w:tcBorders/>
            <w:tcMar>
              <w:start w:w="0" w:type="dxa"/>
              <w:end w:w="0" w:type="dxa"/>
            </w:tcMar>
          </w:tcPr>
          <w:p>
            <w:pPr>
              <w:pStyle w:val="Normal"/>
              <w:snapToGrid w:val="false"/>
              <w:rPr/>
            </w:pPr>
            <w:r>
              <w:rPr/>
            </w:r>
          </w:p>
        </w:tc>
      </w:tr>
      <w:tr>
        <w:trPr/>
        <w:tc>
          <w:tcPr>
            <w:tcW w:w="3708" w:type="dxa"/>
            <w:gridSpan w:val="2"/>
            <w:tcBorders/>
          </w:tcPr>
          <w:p>
            <w:pPr>
              <w:pStyle w:val="Normal"/>
              <w:ind w:start="720" w:end="0"/>
              <w:rPr/>
            </w:pPr>
            <w:r>
              <w:rPr/>
              <w:t>Initial Floating Rate (excluding spread):</w:t>
            </w:r>
          </w:p>
        </w:tc>
        <w:tc>
          <w:tcPr>
            <w:tcW w:w="5310" w:type="dxa"/>
            <w:gridSpan w:val="4"/>
            <w:tcBorders/>
          </w:tcPr>
          <w:p>
            <w:pPr>
              <w:pStyle w:val="Normal"/>
              <w:snapToGrid w:val="false"/>
              <w:rPr/>
            </w:pPr>
            <w:r>
              <w:rPr/>
            </w:r>
          </w:p>
          <w:p>
            <w:pPr>
              <w:pStyle w:val="Normal"/>
              <w:rPr/>
            </w:pPr>
            <w:r>
              <w:rPr/>
              <w:t>5.1875 percent</w:t>
            </w:r>
          </w:p>
        </w:tc>
        <w:tc>
          <w:tcPr>
            <w:tcW w:w="1350" w:type="dxa"/>
            <w:gridSpan w:val="2"/>
            <w:tcBorders/>
            <w:tcMar>
              <w:start w:w="0" w:type="dxa"/>
              <w:end w:w="0" w:type="dxa"/>
            </w:tcMar>
          </w:tcPr>
          <w:p>
            <w:pPr>
              <w:pStyle w:val="Normal"/>
              <w:snapToGrid w:val="false"/>
              <w:rPr/>
            </w:pPr>
            <w:r>
              <w:rPr/>
            </w:r>
          </w:p>
        </w:tc>
      </w:tr>
      <w:tr>
        <w:trPr/>
        <w:tc>
          <w:tcPr>
            <w:tcW w:w="370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1350" w:type="dxa"/>
            <w:gridSpan w:val="2"/>
            <w:tcBorders/>
            <w:tcMar>
              <w:start w:w="0" w:type="dxa"/>
              <w:end w:w="0" w:type="dxa"/>
            </w:tcMar>
          </w:tcPr>
          <w:p>
            <w:pPr>
              <w:pStyle w:val="Normal"/>
              <w:snapToGrid w:val="false"/>
              <w:rPr/>
            </w:pPr>
            <w:r>
              <w:rPr/>
            </w:r>
          </w:p>
        </w:tc>
      </w:tr>
      <w:tr>
        <w:trPr/>
        <w:tc>
          <w:tcPr>
            <w:tcW w:w="3708" w:type="dxa"/>
            <w:gridSpan w:val="2"/>
            <w:tcBorders/>
          </w:tcPr>
          <w:p>
            <w:pPr>
              <w:pStyle w:val="Normal"/>
              <w:ind w:start="720" w:end="0"/>
              <w:rPr/>
            </w:pPr>
            <w:r>
              <w:rPr/>
              <w:t>Reset Dates:</w:t>
            </w:r>
          </w:p>
        </w:tc>
        <w:tc>
          <w:tcPr>
            <w:tcW w:w="5310" w:type="dxa"/>
            <w:gridSpan w:val="4"/>
            <w:tcBorders/>
          </w:tcPr>
          <w:p>
            <w:pPr>
              <w:pStyle w:val="Normal"/>
              <w:rPr/>
            </w:pPr>
            <w:r>
              <w:rPr/>
              <w:t>The first day of each Calculation Period</w:t>
            </w:r>
          </w:p>
        </w:tc>
        <w:tc>
          <w:tcPr>
            <w:tcW w:w="1350" w:type="dxa"/>
            <w:gridSpan w:val="2"/>
            <w:tcBorders/>
            <w:tcMar>
              <w:start w:w="0" w:type="dxa"/>
              <w:end w:w="0" w:type="dxa"/>
            </w:tcMar>
          </w:tcPr>
          <w:p>
            <w:pPr>
              <w:pStyle w:val="Normal"/>
              <w:snapToGrid w:val="false"/>
              <w:rPr/>
            </w:pPr>
            <w:r>
              <w:rPr/>
            </w:r>
          </w:p>
        </w:tc>
      </w:tr>
      <w:tr>
        <w:trPr/>
        <w:tc>
          <w:tcPr>
            <w:tcW w:w="370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1350" w:type="dxa"/>
            <w:gridSpan w:val="2"/>
            <w:tcBorders/>
            <w:tcMar>
              <w:start w:w="0" w:type="dxa"/>
              <w:end w:w="0" w:type="dxa"/>
            </w:tcMar>
          </w:tcPr>
          <w:p>
            <w:pPr>
              <w:pStyle w:val="Normal"/>
              <w:snapToGrid w:val="false"/>
              <w:rPr/>
            </w:pPr>
            <w:r>
              <w:rPr/>
            </w:r>
          </w:p>
        </w:tc>
      </w:tr>
      <w:tr>
        <w:trPr/>
        <w:tc>
          <w:tcPr>
            <w:tcW w:w="3708" w:type="dxa"/>
            <w:gridSpan w:val="2"/>
            <w:tcBorders/>
          </w:tcPr>
          <w:p>
            <w:pPr>
              <w:pStyle w:val="Normal"/>
              <w:ind w:start="720" w:end="0"/>
              <w:rPr/>
            </w:pPr>
            <w:r>
              <w:rPr/>
              <w:t>Business Days:</w:t>
            </w:r>
          </w:p>
        </w:tc>
        <w:tc>
          <w:tcPr>
            <w:tcW w:w="5310" w:type="dxa"/>
            <w:gridSpan w:val="4"/>
            <w:tcBorders/>
          </w:tcPr>
          <w:p>
            <w:pPr>
              <w:pStyle w:val="Normal"/>
              <w:rPr/>
            </w:pPr>
            <w:r>
              <w:rPr/>
              <w:t>New York</w:t>
            </w:r>
          </w:p>
        </w:tc>
        <w:tc>
          <w:tcPr>
            <w:tcW w:w="1350" w:type="dxa"/>
            <w:gridSpan w:val="2"/>
            <w:tcBorders/>
            <w:tcMar>
              <w:start w:w="0" w:type="dxa"/>
              <w:end w:w="0" w:type="dxa"/>
            </w:tcMar>
          </w:tcPr>
          <w:p>
            <w:pPr>
              <w:pStyle w:val="Normal"/>
              <w:snapToGrid w:val="false"/>
              <w:rPr/>
            </w:pPr>
            <w:r>
              <w:rPr/>
            </w:r>
          </w:p>
        </w:tc>
      </w:tr>
      <w:tr>
        <w:trPr/>
        <w:tc>
          <w:tcPr>
            <w:tcW w:w="370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1350" w:type="dxa"/>
            <w:gridSpan w:val="2"/>
            <w:tcBorders/>
            <w:tcMar>
              <w:start w:w="0" w:type="dxa"/>
              <w:end w:w="0" w:type="dxa"/>
            </w:tcMar>
          </w:tcPr>
          <w:p>
            <w:pPr>
              <w:pStyle w:val="Normal"/>
              <w:snapToGrid w:val="false"/>
              <w:rPr/>
            </w:pPr>
            <w:r>
              <w:rPr/>
            </w:r>
          </w:p>
        </w:tc>
      </w:tr>
      <w:tr>
        <w:trPr/>
        <w:tc>
          <w:tcPr>
            <w:tcW w:w="3708" w:type="dxa"/>
            <w:gridSpan w:val="2"/>
            <w:tcBorders/>
          </w:tcPr>
          <w:p>
            <w:pPr>
              <w:pStyle w:val="Normal"/>
              <w:ind w:start="720" w:end="0"/>
              <w:rPr/>
            </w:pPr>
            <w:r>
              <w:rPr/>
              <w:t>Business Day Convention:</w:t>
            </w:r>
          </w:p>
        </w:tc>
        <w:tc>
          <w:tcPr>
            <w:tcW w:w="5310" w:type="dxa"/>
            <w:gridSpan w:val="4"/>
            <w:tcBorders/>
          </w:tcPr>
          <w:p>
            <w:pPr>
              <w:pStyle w:val="Normal"/>
              <w:rPr/>
            </w:pPr>
            <w:r>
              <w:rPr/>
              <w:t>Modified Following</w:t>
            </w:r>
          </w:p>
        </w:tc>
        <w:tc>
          <w:tcPr>
            <w:tcW w:w="1350" w:type="dxa"/>
            <w:gridSpan w:val="2"/>
            <w:tcBorders/>
            <w:tcMar>
              <w:start w:w="0" w:type="dxa"/>
              <w:end w:w="0" w:type="dxa"/>
            </w:tcMar>
          </w:tcPr>
          <w:p>
            <w:pPr>
              <w:pStyle w:val="Normal"/>
              <w:snapToGrid w:val="false"/>
              <w:rPr/>
            </w:pPr>
            <w:r>
              <w:rPr/>
            </w:r>
          </w:p>
        </w:tc>
      </w:tr>
      <w:tr>
        <w:trPr/>
        <w:tc>
          <w:tcPr>
            <w:tcW w:w="370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1350" w:type="dxa"/>
            <w:gridSpan w:val="2"/>
            <w:tcBorders/>
            <w:tcMar>
              <w:start w:w="0" w:type="dxa"/>
              <w:end w:w="0" w:type="dxa"/>
            </w:tcMar>
          </w:tcPr>
          <w:p>
            <w:pPr>
              <w:pStyle w:val="Normal"/>
              <w:snapToGrid w:val="false"/>
              <w:rPr/>
            </w:pPr>
            <w:r>
              <w:rPr/>
            </w:r>
          </w:p>
        </w:tc>
      </w:tr>
      <w:tr>
        <w:trPr/>
        <w:tc>
          <w:tcPr>
            <w:tcW w:w="3708" w:type="dxa"/>
            <w:gridSpan w:val="2"/>
            <w:tcBorders/>
          </w:tcPr>
          <w:p>
            <w:pPr>
              <w:pStyle w:val="Normal"/>
              <w:rPr/>
            </w:pPr>
            <w:r>
              <w:rPr/>
              <w:t>Adjustments:</w:t>
            </w:r>
          </w:p>
        </w:tc>
        <w:tc>
          <w:tcPr>
            <w:tcW w:w="5310" w:type="dxa"/>
            <w:gridSpan w:val="4"/>
            <w:tcBorders/>
          </w:tcPr>
          <w:p>
            <w:pPr>
              <w:pStyle w:val="Normal"/>
              <w:snapToGrid w:val="false"/>
              <w:rPr/>
            </w:pPr>
            <w:r>
              <w:rPr/>
            </w:r>
          </w:p>
        </w:tc>
        <w:tc>
          <w:tcPr>
            <w:tcW w:w="1350" w:type="dxa"/>
            <w:gridSpan w:val="2"/>
            <w:tcBorders/>
            <w:tcMar>
              <w:start w:w="0" w:type="dxa"/>
              <w:end w:w="0" w:type="dxa"/>
            </w:tcMar>
          </w:tcPr>
          <w:p>
            <w:pPr>
              <w:pStyle w:val="Normal"/>
              <w:snapToGrid w:val="false"/>
              <w:rPr/>
            </w:pPr>
            <w:r>
              <w:rPr/>
            </w:r>
          </w:p>
        </w:tc>
      </w:tr>
      <w:tr>
        <w:trPr/>
        <w:tc>
          <w:tcPr>
            <w:tcW w:w="3708" w:type="dxa"/>
            <w:gridSpan w:val="2"/>
            <w:tcBorders/>
          </w:tcPr>
          <w:p>
            <w:pPr>
              <w:pStyle w:val="Normal"/>
              <w:snapToGrid w:val="false"/>
              <w:rPr/>
            </w:pPr>
            <w:r>
              <w:rPr/>
            </w:r>
          </w:p>
        </w:tc>
        <w:tc>
          <w:tcPr>
            <w:tcW w:w="5310" w:type="dxa"/>
            <w:gridSpan w:val="4"/>
            <w:tcBorders/>
          </w:tcPr>
          <w:p>
            <w:pPr>
              <w:pStyle w:val="Normal"/>
              <w:snapToGrid w:val="false"/>
              <w:rPr/>
            </w:pPr>
            <w:r>
              <w:rPr/>
            </w:r>
          </w:p>
        </w:tc>
        <w:tc>
          <w:tcPr>
            <w:tcW w:w="1350" w:type="dxa"/>
            <w:gridSpan w:val="2"/>
            <w:tcBorders/>
            <w:tcMar>
              <w:start w:w="0" w:type="dxa"/>
              <w:end w:w="0" w:type="dxa"/>
            </w:tcMar>
          </w:tcPr>
          <w:p>
            <w:pPr>
              <w:pStyle w:val="Normal"/>
              <w:snapToGrid w:val="false"/>
              <w:rPr/>
            </w:pPr>
            <w:r>
              <w:rPr/>
            </w:r>
          </w:p>
        </w:tc>
      </w:tr>
      <w:tr>
        <w:trPr/>
        <w:tc>
          <w:tcPr>
            <w:tcW w:w="3708" w:type="dxa"/>
            <w:gridSpan w:val="2"/>
            <w:tcBorders/>
          </w:tcPr>
          <w:p>
            <w:pPr>
              <w:pStyle w:val="Normal"/>
              <w:ind w:start="720" w:end="0"/>
              <w:rPr/>
            </w:pPr>
            <w:r>
              <w:rPr/>
              <w:t>Method of Adjustment:</w:t>
            </w:r>
          </w:p>
        </w:tc>
        <w:tc>
          <w:tcPr>
            <w:tcW w:w="5310" w:type="dxa"/>
            <w:gridSpan w:val="4"/>
            <w:tcBorders/>
          </w:tcPr>
          <w:p>
            <w:pPr>
              <w:pStyle w:val="Normal"/>
              <w:rPr/>
            </w:pPr>
            <w:r>
              <w:rPr/>
              <w:t>Calculation Agent Adjustment</w:t>
            </w:r>
          </w:p>
        </w:tc>
        <w:tc>
          <w:tcPr>
            <w:tcW w:w="1350" w:type="dxa"/>
            <w:gridSpan w:val="2"/>
            <w:tcBorders/>
            <w:tcMar>
              <w:start w:w="0" w:type="dxa"/>
              <w:end w:w="0" w:type="dxa"/>
            </w:tcMar>
          </w:tcPr>
          <w:p>
            <w:pPr>
              <w:pStyle w:val="Normal"/>
              <w:snapToGrid w:val="false"/>
              <w:rPr/>
            </w:pPr>
            <w:r>
              <w:rPr/>
            </w:r>
          </w:p>
        </w:tc>
      </w:tr>
      <w:tr>
        <w:trPr/>
        <w:tc>
          <w:tcPr>
            <w:tcW w:w="370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1350" w:type="dxa"/>
            <w:gridSpan w:val="2"/>
            <w:tcBorders/>
            <w:tcMar>
              <w:start w:w="0" w:type="dxa"/>
              <w:end w:w="0" w:type="dxa"/>
            </w:tcMar>
          </w:tcPr>
          <w:p>
            <w:pPr>
              <w:pStyle w:val="Normal"/>
              <w:snapToGrid w:val="false"/>
              <w:rPr/>
            </w:pPr>
            <w:r>
              <w:rPr/>
            </w:r>
          </w:p>
        </w:tc>
      </w:tr>
      <w:tr>
        <w:trPr/>
        <w:tc>
          <w:tcPr>
            <w:tcW w:w="3708" w:type="dxa"/>
            <w:gridSpan w:val="2"/>
            <w:tcBorders/>
          </w:tcPr>
          <w:p>
            <w:pPr>
              <w:pStyle w:val="Normal"/>
              <w:rPr/>
            </w:pPr>
            <w:r>
              <w:rPr/>
              <w:t>Extraordinary Events:</w:t>
            </w:r>
          </w:p>
        </w:tc>
        <w:tc>
          <w:tcPr>
            <w:tcW w:w="5310" w:type="dxa"/>
            <w:gridSpan w:val="4"/>
            <w:tcBorders/>
          </w:tcPr>
          <w:p>
            <w:pPr>
              <w:pStyle w:val="Normal"/>
              <w:snapToGrid w:val="false"/>
              <w:rPr/>
            </w:pPr>
            <w:r>
              <w:rPr/>
            </w:r>
          </w:p>
        </w:tc>
        <w:tc>
          <w:tcPr>
            <w:tcW w:w="1350" w:type="dxa"/>
            <w:gridSpan w:val="2"/>
            <w:tcBorders/>
            <w:tcMar>
              <w:start w:w="0" w:type="dxa"/>
              <w:end w:w="0" w:type="dxa"/>
            </w:tcMar>
          </w:tcPr>
          <w:p>
            <w:pPr>
              <w:pStyle w:val="Normal"/>
              <w:snapToGrid w:val="false"/>
              <w:rPr/>
            </w:pPr>
            <w:r>
              <w:rPr/>
            </w:r>
          </w:p>
        </w:tc>
      </w:tr>
      <w:tr>
        <w:trPr/>
        <w:tc>
          <w:tcPr>
            <w:tcW w:w="3708" w:type="dxa"/>
            <w:gridSpan w:val="2"/>
            <w:tcBorders/>
          </w:tcPr>
          <w:p>
            <w:pPr>
              <w:pStyle w:val="Normal"/>
              <w:snapToGrid w:val="false"/>
              <w:rPr/>
            </w:pPr>
            <w:r>
              <w:rPr/>
            </w:r>
          </w:p>
        </w:tc>
        <w:tc>
          <w:tcPr>
            <w:tcW w:w="5310" w:type="dxa"/>
            <w:gridSpan w:val="4"/>
            <w:tcBorders/>
          </w:tcPr>
          <w:p>
            <w:pPr>
              <w:pStyle w:val="Normal"/>
              <w:snapToGrid w:val="false"/>
              <w:rPr/>
            </w:pPr>
            <w:r>
              <w:rPr/>
            </w:r>
          </w:p>
        </w:tc>
        <w:tc>
          <w:tcPr>
            <w:tcW w:w="1350" w:type="dxa"/>
            <w:gridSpan w:val="2"/>
            <w:tcBorders/>
            <w:tcMar>
              <w:start w:w="0" w:type="dxa"/>
              <w:end w:w="0" w:type="dxa"/>
            </w:tcMar>
          </w:tcPr>
          <w:p>
            <w:pPr>
              <w:pStyle w:val="Normal"/>
              <w:snapToGrid w:val="false"/>
              <w:rPr/>
            </w:pPr>
            <w:r>
              <w:rPr/>
            </w:r>
          </w:p>
        </w:tc>
      </w:tr>
      <w:tr>
        <w:trPr/>
        <w:tc>
          <w:tcPr>
            <w:tcW w:w="3708" w:type="dxa"/>
            <w:gridSpan w:val="2"/>
            <w:tcBorders/>
          </w:tcPr>
          <w:p>
            <w:pPr>
              <w:pStyle w:val="Normal"/>
              <w:ind w:start="720" w:end="0"/>
              <w:rPr/>
            </w:pPr>
            <w:r>
              <w:rPr/>
              <w:t>Consequence of Merger Events:</w:t>
            </w:r>
          </w:p>
        </w:tc>
        <w:tc>
          <w:tcPr>
            <w:tcW w:w="5310" w:type="dxa"/>
            <w:gridSpan w:val="4"/>
            <w:tcBorders/>
          </w:tcPr>
          <w:p>
            <w:pPr>
              <w:pStyle w:val="Normal"/>
              <w:snapToGrid w:val="false"/>
              <w:rPr/>
            </w:pPr>
            <w:r>
              <w:rPr/>
            </w:r>
          </w:p>
        </w:tc>
        <w:tc>
          <w:tcPr>
            <w:tcW w:w="1350" w:type="dxa"/>
            <w:gridSpan w:val="2"/>
            <w:tcBorders/>
            <w:tcMar>
              <w:start w:w="0" w:type="dxa"/>
              <w:end w:w="0" w:type="dxa"/>
            </w:tcMar>
          </w:tcPr>
          <w:p>
            <w:pPr>
              <w:pStyle w:val="Normal"/>
              <w:snapToGrid w:val="false"/>
              <w:rPr/>
            </w:pPr>
            <w:r>
              <w:rPr/>
            </w:r>
          </w:p>
        </w:tc>
      </w:tr>
      <w:tr>
        <w:trPr/>
        <w:tc>
          <w:tcPr>
            <w:tcW w:w="370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1350" w:type="dxa"/>
            <w:gridSpan w:val="2"/>
            <w:tcBorders/>
            <w:tcMar>
              <w:start w:w="0" w:type="dxa"/>
              <w:end w:w="0" w:type="dxa"/>
            </w:tcMar>
          </w:tcPr>
          <w:p>
            <w:pPr>
              <w:pStyle w:val="Normal"/>
              <w:snapToGrid w:val="false"/>
              <w:rPr/>
            </w:pPr>
            <w:r>
              <w:rPr/>
            </w:r>
          </w:p>
        </w:tc>
      </w:tr>
      <w:tr>
        <w:trPr/>
        <w:tc>
          <w:tcPr>
            <w:tcW w:w="3708" w:type="dxa"/>
            <w:gridSpan w:val="2"/>
            <w:tcBorders/>
          </w:tcPr>
          <w:p>
            <w:pPr>
              <w:pStyle w:val="Normal"/>
              <w:ind w:start="720" w:end="0"/>
              <w:rPr/>
            </w:pPr>
            <w:r>
              <w:rPr/>
              <w:t>(a) Share-for-Share:</w:t>
            </w:r>
          </w:p>
        </w:tc>
        <w:tc>
          <w:tcPr>
            <w:tcW w:w="5310" w:type="dxa"/>
            <w:gridSpan w:val="4"/>
            <w:tcBorders/>
          </w:tcPr>
          <w:p>
            <w:pPr>
              <w:pStyle w:val="Normal"/>
              <w:rPr/>
            </w:pPr>
            <w:r>
              <w:rPr/>
              <w:t>Alternative Obligation</w:t>
            </w:r>
          </w:p>
        </w:tc>
        <w:tc>
          <w:tcPr>
            <w:tcW w:w="1350" w:type="dxa"/>
            <w:gridSpan w:val="2"/>
            <w:tcBorders/>
            <w:tcMar>
              <w:start w:w="0" w:type="dxa"/>
              <w:end w:w="0" w:type="dxa"/>
            </w:tcMar>
          </w:tcPr>
          <w:p>
            <w:pPr>
              <w:pStyle w:val="Normal"/>
              <w:snapToGrid w:val="false"/>
              <w:rPr/>
            </w:pPr>
            <w:r>
              <w:rPr/>
            </w:r>
          </w:p>
        </w:tc>
      </w:tr>
      <w:tr>
        <w:trPr/>
        <w:tc>
          <w:tcPr>
            <w:tcW w:w="370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1350" w:type="dxa"/>
            <w:gridSpan w:val="2"/>
            <w:tcBorders/>
            <w:tcMar>
              <w:start w:w="0" w:type="dxa"/>
              <w:end w:w="0" w:type="dxa"/>
            </w:tcMar>
          </w:tcPr>
          <w:p>
            <w:pPr>
              <w:pStyle w:val="Normal"/>
              <w:snapToGrid w:val="false"/>
              <w:rPr/>
            </w:pPr>
            <w:r>
              <w:rPr/>
            </w:r>
          </w:p>
        </w:tc>
      </w:tr>
      <w:tr>
        <w:trPr/>
        <w:tc>
          <w:tcPr>
            <w:tcW w:w="3708" w:type="dxa"/>
            <w:gridSpan w:val="2"/>
            <w:tcBorders/>
          </w:tcPr>
          <w:p>
            <w:pPr>
              <w:pStyle w:val="Normal"/>
              <w:ind w:start="720" w:end="0"/>
              <w:rPr/>
            </w:pPr>
            <w:r>
              <w:rPr/>
              <w:t>(b) Share-for-Other:</w:t>
            </w:r>
          </w:p>
        </w:tc>
        <w:tc>
          <w:tcPr>
            <w:tcW w:w="5310" w:type="dxa"/>
            <w:gridSpan w:val="4"/>
            <w:tcBorders/>
          </w:tcPr>
          <w:p>
            <w:pPr>
              <w:pStyle w:val="Normal"/>
              <w:rPr/>
            </w:pPr>
            <w:r>
              <w:rPr/>
              <w:t>Cancellation and Payment</w:t>
            </w:r>
          </w:p>
        </w:tc>
        <w:tc>
          <w:tcPr>
            <w:tcW w:w="1350" w:type="dxa"/>
            <w:gridSpan w:val="2"/>
            <w:tcBorders/>
            <w:tcMar>
              <w:start w:w="0" w:type="dxa"/>
              <w:end w:w="0" w:type="dxa"/>
            </w:tcMar>
          </w:tcPr>
          <w:p>
            <w:pPr>
              <w:pStyle w:val="Normal"/>
              <w:snapToGrid w:val="false"/>
              <w:rPr/>
            </w:pPr>
            <w:r>
              <w:rPr/>
            </w:r>
          </w:p>
        </w:tc>
      </w:tr>
      <w:tr>
        <w:trPr/>
        <w:tc>
          <w:tcPr>
            <w:tcW w:w="370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1350" w:type="dxa"/>
            <w:gridSpan w:val="2"/>
            <w:tcBorders/>
            <w:tcMar>
              <w:start w:w="0" w:type="dxa"/>
              <w:end w:w="0" w:type="dxa"/>
            </w:tcMar>
          </w:tcPr>
          <w:p>
            <w:pPr>
              <w:pStyle w:val="Normal"/>
              <w:snapToGrid w:val="false"/>
              <w:rPr/>
            </w:pPr>
            <w:r>
              <w:rPr/>
            </w:r>
          </w:p>
        </w:tc>
      </w:tr>
      <w:tr>
        <w:trPr/>
        <w:tc>
          <w:tcPr>
            <w:tcW w:w="3708" w:type="dxa"/>
            <w:gridSpan w:val="2"/>
            <w:tcBorders/>
          </w:tcPr>
          <w:p>
            <w:pPr>
              <w:pStyle w:val="Normal"/>
              <w:ind w:start="720" w:end="0"/>
              <w:rPr/>
            </w:pPr>
            <w:r>
              <w:rPr/>
              <w:t>(c) Share-for-Combined:</w:t>
            </w:r>
          </w:p>
        </w:tc>
        <w:tc>
          <w:tcPr>
            <w:tcW w:w="5310" w:type="dxa"/>
            <w:gridSpan w:val="4"/>
            <w:tcBorders/>
          </w:tcPr>
          <w:p>
            <w:pPr>
              <w:pStyle w:val="Normal"/>
              <w:rPr/>
            </w:pPr>
            <w:r>
              <w:rPr/>
              <w:t>Cancellation and Payment</w:t>
            </w:r>
          </w:p>
        </w:tc>
        <w:tc>
          <w:tcPr>
            <w:tcW w:w="1350" w:type="dxa"/>
            <w:gridSpan w:val="2"/>
            <w:tcBorders/>
            <w:tcMar>
              <w:start w:w="0" w:type="dxa"/>
              <w:end w:w="0" w:type="dxa"/>
            </w:tcMar>
          </w:tcPr>
          <w:p>
            <w:pPr>
              <w:pStyle w:val="Normal"/>
              <w:snapToGrid w:val="false"/>
              <w:rPr/>
            </w:pPr>
            <w:r>
              <w:rPr/>
            </w:r>
          </w:p>
        </w:tc>
      </w:tr>
      <w:tr>
        <w:trPr/>
        <w:tc>
          <w:tcPr>
            <w:tcW w:w="370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1350" w:type="dxa"/>
            <w:gridSpan w:val="2"/>
            <w:tcBorders/>
            <w:tcMar>
              <w:start w:w="0" w:type="dxa"/>
              <w:end w:w="0" w:type="dxa"/>
            </w:tcMar>
          </w:tcPr>
          <w:p>
            <w:pPr>
              <w:pStyle w:val="Normal"/>
              <w:snapToGrid w:val="false"/>
              <w:rPr/>
            </w:pPr>
            <w:r>
              <w:rPr/>
            </w:r>
          </w:p>
        </w:tc>
      </w:tr>
      <w:tr>
        <w:trPr/>
        <w:tc>
          <w:tcPr>
            <w:tcW w:w="3708" w:type="dxa"/>
            <w:gridSpan w:val="2"/>
            <w:tcBorders/>
          </w:tcPr>
          <w:p>
            <w:pPr>
              <w:pStyle w:val="Normal"/>
              <w:ind w:start="720" w:end="0"/>
              <w:rPr/>
            </w:pPr>
            <w:r>
              <w:rPr/>
              <w:t>Nationalization or Insolvency:</w:t>
            </w:r>
          </w:p>
        </w:tc>
        <w:tc>
          <w:tcPr>
            <w:tcW w:w="5310" w:type="dxa"/>
            <w:gridSpan w:val="4"/>
            <w:tcBorders/>
          </w:tcPr>
          <w:p>
            <w:pPr>
              <w:pStyle w:val="Normal"/>
              <w:rPr/>
            </w:pPr>
            <w:r>
              <w:rPr/>
              <w:t>Cancellation and Payment</w:t>
            </w:r>
          </w:p>
        </w:tc>
        <w:tc>
          <w:tcPr>
            <w:tcW w:w="1350" w:type="dxa"/>
            <w:gridSpan w:val="2"/>
            <w:tcBorders/>
            <w:tcMar>
              <w:start w:w="0" w:type="dxa"/>
              <w:end w:w="0" w:type="dxa"/>
            </w:tcMar>
          </w:tcPr>
          <w:p>
            <w:pPr>
              <w:pStyle w:val="Normal"/>
              <w:snapToGrid w:val="false"/>
              <w:rPr/>
            </w:pPr>
            <w:r>
              <w:rPr/>
            </w:r>
          </w:p>
        </w:tc>
      </w:tr>
      <w:tr>
        <w:trPr/>
        <w:tc>
          <w:tcPr>
            <w:tcW w:w="370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1350" w:type="dxa"/>
            <w:gridSpan w:val="2"/>
            <w:tcBorders/>
            <w:tcMar>
              <w:start w:w="0" w:type="dxa"/>
              <w:end w:w="0" w:type="dxa"/>
            </w:tcMar>
          </w:tcPr>
          <w:p>
            <w:pPr>
              <w:pStyle w:val="Normal"/>
              <w:snapToGrid w:val="false"/>
              <w:rPr/>
            </w:pPr>
            <w:r>
              <w:rPr/>
            </w:r>
          </w:p>
        </w:tc>
      </w:tr>
    </w:tbl>
    <w:p>
      <w:pPr>
        <w:pStyle w:val="Normal"/>
        <w:ind w:start="90" w:end="0"/>
        <w:jc w:val="both"/>
        <w:rPr/>
      </w:pPr>
      <w:r>
        <w:rPr/>
        <w:t>3.  Early Termination:</w:t>
      </w:r>
      <w:r>
        <w:rPr>
          <w:b/>
        </w:rPr>
        <w:t xml:space="preserve">  </w:t>
      </w:r>
      <w:r>
        <w:rPr/>
        <w:t>Party A grants Party B the right, but not the obligation, to prematurely terminate this Transaction in whole but not in part, as of any day between April 18, 2000 and the Termination Date (hereinafter the “Early Termination Date”).  Party B may effect such early termination by delivering an irrevocable written notice between 9:00 a.m. to 5:00 p.m. (Houston time) to Party A on a day which is not less than three (3) Exchange Business Days before such Early Termination Date.  Upon effective notice, all payments under the Transaction shall be calculated with the Early Termination Date substituting as the Termination Date.</w:t>
      </w:r>
    </w:p>
    <w:tbl>
      <w:tblPr>
        <w:tblW w:w="9288" w:type="dxa"/>
        <w:jc w:val="start"/>
        <w:tblInd w:w="0" w:type="dxa"/>
        <w:tblLayout w:type="fixed"/>
        <w:tblCellMar>
          <w:top w:w="0" w:type="dxa"/>
          <w:start w:w="108" w:type="dxa"/>
          <w:bottom w:w="0" w:type="dxa"/>
          <w:end w:w="108" w:type="dxa"/>
        </w:tblCellMar>
      </w:tblPr>
      <w:tblGrid>
        <w:gridCol w:w="2448"/>
        <w:gridCol w:w="1260"/>
        <w:gridCol w:w="270"/>
        <w:gridCol w:w="5040"/>
        <w:gridCol w:w="270"/>
      </w:tblGrid>
      <w:tr>
        <w:trPr/>
        <w:tc>
          <w:tcPr>
            <w:tcW w:w="2448" w:type="dxa"/>
            <w:tcBorders/>
          </w:tcPr>
          <w:p>
            <w:pPr>
              <w:pStyle w:val="Normal"/>
              <w:tabs>
                <w:tab w:val="clear" w:pos="720"/>
                <w:tab w:val="left" w:pos="810" w:leader="none"/>
              </w:tabs>
              <w:snapToGrid w:val="false"/>
              <w:ind w:start="90" w:end="0"/>
              <w:rPr/>
            </w:pPr>
            <w:r>
              <w:rPr/>
            </w:r>
          </w:p>
        </w:tc>
        <w:tc>
          <w:tcPr>
            <w:tcW w:w="6570" w:type="dxa"/>
            <w:gridSpan w:val="3"/>
            <w:tcBorders/>
          </w:tcPr>
          <w:p>
            <w:pPr>
              <w:pStyle w:val="Header"/>
              <w:tabs>
                <w:tab w:val="clear" w:pos="4320"/>
                <w:tab w:val="clear" w:pos="8640"/>
              </w:tabs>
              <w:snapToGrid w:val="false"/>
              <w:rPr/>
            </w:pPr>
            <w:r>
              <w:rPr/>
            </w:r>
          </w:p>
        </w:tc>
        <w:tc>
          <w:tcPr>
            <w:tcW w:w="270" w:type="dxa"/>
            <w:tcBorders/>
            <w:tcMar>
              <w:start w:w="0" w:type="dxa"/>
              <w:end w:w="0" w:type="dxa"/>
            </w:tcMar>
          </w:tcPr>
          <w:p>
            <w:pPr>
              <w:pStyle w:val="Normal"/>
              <w:snapToGrid w:val="false"/>
              <w:rPr/>
            </w:pPr>
            <w:r>
              <w:rPr/>
            </w:r>
          </w:p>
        </w:tc>
      </w:tr>
      <w:tr>
        <w:trPr/>
        <w:tc>
          <w:tcPr>
            <w:tcW w:w="3978" w:type="dxa"/>
            <w:gridSpan w:val="3"/>
            <w:tcBorders/>
          </w:tcPr>
          <w:p>
            <w:pPr>
              <w:pStyle w:val="Normal"/>
              <w:tabs>
                <w:tab w:val="clear" w:pos="720"/>
                <w:tab w:val="left" w:pos="810" w:leader="none"/>
              </w:tabs>
              <w:ind w:start="90" w:end="0"/>
              <w:rPr/>
            </w:pPr>
            <w:r>
              <w:rPr/>
              <w:t>4.  Account Details and Settlement Information:</w:t>
            </w:r>
          </w:p>
        </w:tc>
        <w:tc>
          <w:tcPr>
            <w:tcW w:w="5310" w:type="dxa"/>
            <w:gridSpan w:val="2"/>
            <w:tcBorders/>
          </w:tcPr>
          <w:p>
            <w:pPr>
              <w:pStyle w:val="Header"/>
              <w:tabs>
                <w:tab w:val="clear" w:pos="4320"/>
                <w:tab w:val="clear" w:pos="8640"/>
              </w:tabs>
              <w:snapToGrid w:val="false"/>
              <w:rPr/>
            </w:pPr>
            <w:r>
              <w:rPr/>
            </w:r>
          </w:p>
        </w:tc>
      </w:tr>
      <w:tr>
        <w:trPr/>
        <w:tc>
          <w:tcPr>
            <w:tcW w:w="3708" w:type="dxa"/>
            <w:gridSpan w:val="2"/>
            <w:tcBorders/>
          </w:tcPr>
          <w:p>
            <w:pPr>
              <w:pStyle w:val="Normal"/>
              <w:tabs>
                <w:tab w:val="clear" w:pos="720"/>
                <w:tab w:val="left" w:pos="810" w:leader="none"/>
              </w:tabs>
              <w:snapToGrid w:val="false"/>
              <w:ind w:start="90" w:end="0"/>
              <w:rPr/>
            </w:pPr>
            <w:r>
              <w:rPr/>
            </w:r>
          </w:p>
        </w:tc>
        <w:tc>
          <w:tcPr>
            <w:tcW w:w="5310" w:type="dxa"/>
            <w:gridSpan w:val="2"/>
            <w:tcBorders/>
          </w:tcPr>
          <w:p>
            <w:pPr>
              <w:pStyle w:val="Normal"/>
              <w:snapToGrid w:val="false"/>
              <w:rPr/>
            </w:pPr>
            <w:r>
              <w:rPr/>
            </w:r>
          </w:p>
        </w:tc>
        <w:tc>
          <w:tcPr>
            <w:tcW w:w="270" w:type="dxa"/>
            <w:tcBorders/>
            <w:tcMar>
              <w:start w:w="0" w:type="dxa"/>
              <w:end w:w="0" w:type="dxa"/>
            </w:tcMar>
          </w:tcPr>
          <w:p>
            <w:pPr>
              <w:pStyle w:val="Normal"/>
              <w:snapToGrid w:val="false"/>
              <w:rPr/>
            </w:pPr>
            <w:r>
              <w:rPr/>
            </w:r>
          </w:p>
        </w:tc>
      </w:tr>
      <w:tr>
        <w:trPr/>
        <w:tc>
          <w:tcPr>
            <w:tcW w:w="3708" w:type="dxa"/>
            <w:gridSpan w:val="2"/>
            <w:tcBorders/>
          </w:tcPr>
          <w:p>
            <w:pPr>
              <w:pStyle w:val="Normal"/>
              <w:tabs>
                <w:tab w:val="left" w:pos="720" w:leader="none"/>
              </w:tabs>
              <w:ind w:start="720" w:end="0"/>
              <w:rPr/>
            </w:pPr>
            <w:r>
              <w:rPr/>
              <w:t>Payments to Party A:</w:t>
            </w:r>
          </w:p>
        </w:tc>
        <w:tc>
          <w:tcPr>
            <w:tcW w:w="5310" w:type="dxa"/>
            <w:gridSpan w:val="2"/>
            <w:tcBorders/>
          </w:tcPr>
          <w:p>
            <w:pPr>
              <w:pStyle w:val="Normal"/>
              <w:rPr/>
            </w:pPr>
            <w:r>
              <w:rPr/>
              <w:t>To be advised</w:t>
            </w:r>
          </w:p>
        </w:tc>
        <w:tc>
          <w:tcPr>
            <w:tcW w:w="270" w:type="dxa"/>
            <w:tcBorders/>
            <w:tcMar>
              <w:start w:w="0" w:type="dxa"/>
              <w:end w:w="0" w:type="dxa"/>
            </w:tcMar>
          </w:tcPr>
          <w:p>
            <w:pPr>
              <w:pStyle w:val="Normal"/>
              <w:snapToGrid w:val="false"/>
              <w:rPr/>
            </w:pPr>
            <w:r>
              <w:rPr/>
            </w:r>
          </w:p>
        </w:tc>
      </w:tr>
      <w:tr>
        <w:trPr/>
        <w:tc>
          <w:tcPr>
            <w:tcW w:w="3708" w:type="dxa"/>
            <w:gridSpan w:val="2"/>
            <w:tcBorders/>
          </w:tcPr>
          <w:p>
            <w:pPr>
              <w:pStyle w:val="Normal"/>
              <w:tabs>
                <w:tab w:val="left" w:pos="720" w:leader="none"/>
              </w:tabs>
              <w:snapToGrid w:val="false"/>
              <w:ind w:start="720" w:end="0"/>
              <w:rPr/>
            </w:pPr>
            <w:r>
              <w:rPr/>
            </w:r>
          </w:p>
        </w:tc>
        <w:tc>
          <w:tcPr>
            <w:tcW w:w="5310" w:type="dxa"/>
            <w:gridSpan w:val="2"/>
            <w:tcBorders/>
          </w:tcPr>
          <w:p>
            <w:pPr>
              <w:pStyle w:val="Normal"/>
              <w:snapToGrid w:val="false"/>
              <w:rPr/>
            </w:pPr>
            <w:r>
              <w:rPr/>
            </w:r>
          </w:p>
        </w:tc>
        <w:tc>
          <w:tcPr>
            <w:tcW w:w="270" w:type="dxa"/>
            <w:tcBorders/>
            <w:tcMar>
              <w:start w:w="0" w:type="dxa"/>
              <w:end w:w="0" w:type="dxa"/>
            </w:tcMar>
          </w:tcPr>
          <w:p>
            <w:pPr>
              <w:pStyle w:val="Normal"/>
              <w:snapToGrid w:val="false"/>
              <w:rPr/>
            </w:pPr>
            <w:r>
              <w:rPr/>
            </w:r>
          </w:p>
        </w:tc>
      </w:tr>
      <w:tr>
        <w:trPr/>
        <w:tc>
          <w:tcPr>
            <w:tcW w:w="3708" w:type="dxa"/>
            <w:gridSpan w:val="2"/>
            <w:tcBorders/>
          </w:tcPr>
          <w:p>
            <w:pPr>
              <w:pStyle w:val="Normal"/>
              <w:tabs>
                <w:tab w:val="left" w:pos="720" w:leader="none"/>
              </w:tabs>
              <w:ind w:start="720" w:end="0"/>
              <w:rPr/>
            </w:pPr>
            <w:r>
              <w:rPr/>
              <w:t>Payments to Party B:</w:t>
            </w:r>
          </w:p>
        </w:tc>
        <w:tc>
          <w:tcPr>
            <w:tcW w:w="5310" w:type="dxa"/>
            <w:gridSpan w:val="2"/>
            <w:tcBorders/>
          </w:tcPr>
          <w:p>
            <w:pPr>
              <w:pStyle w:val="Normal"/>
              <w:rPr/>
            </w:pPr>
            <w:r>
              <w:rPr/>
              <w:t>Please advise</w:t>
            </w:r>
          </w:p>
        </w:tc>
        <w:tc>
          <w:tcPr>
            <w:tcW w:w="270" w:type="dxa"/>
            <w:tcBorders/>
            <w:tcMar>
              <w:start w:w="0" w:type="dxa"/>
              <w:end w:w="0" w:type="dxa"/>
            </w:tcMar>
          </w:tcPr>
          <w:p>
            <w:pPr>
              <w:pStyle w:val="Normal"/>
              <w:snapToGrid w:val="false"/>
              <w:rPr/>
            </w:pPr>
            <w:r>
              <w:rPr/>
            </w:r>
          </w:p>
        </w:tc>
      </w:tr>
      <w:tr>
        <w:trPr/>
        <w:tc>
          <w:tcPr>
            <w:tcW w:w="3708" w:type="dxa"/>
            <w:gridSpan w:val="2"/>
            <w:tcBorders/>
          </w:tcPr>
          <w:p>
            <w:pPr>
              <w:pStyle w:val="Normal"/>
              <w:tabs>
                <w:tab w:val="left" w:pos="720" w:leader="none"/>
              </w:tabs>
              <w:snapToGrid w:val="false"/>
              <w:ind w:start="720" w:end="0"/>
              <w:rPr/>
            </w:pPr>
            <w:r>
              <w:rPr/>
            </w:r>
          </w:p>
        </w:tc>
        <w:tc>
          <w:tcPr>
            <w:tcW w:w="5310" w:type="dxa"/>
            <w:gridSpan w:val="2"/>
            <w:tcBorders/>
          </w:tcPr>
          <w:p>
            <w:pPr>
              <w:pStyle w:val="Normal"/>
              <w:snapToGrid w:val="false"/>
              <w:rPr/>
            </w:pPr>
            <w:r>
              <w:rPr/>
            </w:r>
          </w:p>
        </w:tc>
        <w:tc>
          <w:tcPr>
            <w:tcW w:w="270" w:type="dxa"/>
            <w:tcBorders/>
            <w:tcMar>
              <w:start w:w="0" w:type="dxa"/>
              <w:end w:w="0" w:type="dxa"/>
            </w:tcMar>
          </w:tcPr>
          <w:p>
            <w:pPr>
              <w:pStyle w:val="Normal"/>
              <w:snapToGrid w:val="false"/>
              <w:rPr/>
            </w:pPr>
            <w:r>
              <w:rPr/>
            </w:r>
          </w:p>
        </w:tc>
      </w:tr>
      <w:tr>
        <w:trPr/>
        <w:tc>
          <w:tcPr>
            <w:tcW w:w="3708" w:type="dxa"/>
            <w:gridSpan w:val="2"/>
            <w:tcBorders/>
          </w:tcPr>
          <w:p>
            <w:pPr>
              <w:pStyle w:val="Normal"/>
              <w:tabs>
                <w:tab w:val="clear" w:pos="720"/>
                <w:tab w:val="left" w:pos="0" w:leader="none"/>
              </w:tabs>
              <w:snapToGrid w:val="false"/>
              <w:rPr/>
            </w:pPr>
            <w:r>
              <w:rPr/>
            </w:r>
          </w:p>
        </w:tc>
        <w:tc>
          <w:tcPr>
            <w:tcW w:w="5310" w:type="dxa"/>
            <w:gridSpan w:val="2"/>
            <w:tcBorders/>
          </w:tcPr>
          <w:p>
            <w:pPr>
              <w:pStyle w:val="Normal"/>
              <w:snapToGrid w:val="false"/>
              <w:rPr/>
            </w:pPr>
            <w:r>
              <w:rPr/>
            </w:r>
          </w:p>
        </w:tc>
        <w:tc>
          <w:tcPr>
            <w:tcW w:w="270" w:type="dxa"/>
            <w:tcBorders/>
            <w:tcMar>
              <w:start w:w="0" w:type="dxa"/>
              <w:end w:w="0" w:type="dxa"/>
            </w:tcMar>
          </w:tcPr>
          <w:p>
            <w:pPr>
              <w:pStyle w:val="Normal"/>
              <w:snapToGrid w:val="false"/>
              <w:rPr/>
            </w:pPr>
            <w:r>
              <w:rPr/>
            </w:r>
          </w:p>
        </w:tc>
      </w:tr>
    </w:tbl>
    <w:p>
      <w:pPr>
        <w:pStyle w:val="Normal"/>
        <w:tabs>
          <w:tab w:val="clear" w:pos="720"/>
          <w:tab w:val="left" w:pos="360" w:leader="none"/>
        </w:tabs>
        <w:jc w:val="both"/>
        <w:rPr/>
      </w:pPr>
      <w:r>
        <w:rPr/>
        <w:t xml:space="preserve">5.  Representations.  To induce the other to enter into the Transaction, each party represents and warrants to the other that: (a) </w:t>
      </w:r>
      <w:r>
        <w:rPr>
          <w:u w:val="single"/>
        </w:rPr>
        <w:t>Authority</w:t>
      </w:r>
      <w:r>
        <w:rPr/>
        <w:t>:  (i) the execution, delivery and performance of this Confirmation have been duly authorized by all necessary corporate or other organization action on its part, (ii) this Confirmation is its legally valid and binding obligation, enforceable against it in accordance with its terms; and (b)</w:t>
      </w:r>
      <w:r>
        <w:rPr>
          <w:u w:val="single"/>
        </w:rPr>
        <w:t>Line of Business</w:t>
      </w:r>
      <w:r>
        <w:rPr/>
        <w:t>: it is entering into this Confirmation in conjunction with its line of business (including financial intermediation services) or the financing of its business and (c)</w:t>
      </w:r>
      <w:r>
        <w:rPr>
          <w:u w:val="single"/>
        </w:rPr>
        <w:t>No Reliance and No Advisory Status</w:t>
      </w:r>
      <w:r>
        <w:rPr/>
        <w:t>: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w:t>
      </w:r>
    </w:p>
    <w:p>
      <w:pPr>
        <w:pStyle w:val="Normal"/>
        <w:jc w:val="both"/>
        <w:rPr/>
      </w:pPr>
      <w:r>
        <w:rPr/>
      </w:r>
    </w:p>
    <w:p>
      <w:pPr>
        <w:pStyle w:val="BodyText"/>
        <w:rPr/>
      </w:pPr>
      <w:r>
        <w:rPr/>
        <w:t>6.  Governing Law/Jurisdiction.  This Confirmation will be governed by and construed in accordance with the laws of the State of Texas (without reference to choice of law doctrine).</w:t>
      </w:r>
    </w:p>
    <w:p>
      <w:pPr>
        <w:pStyle w:val="Normal"/>
        <w:jc w:val="both"/>
        <w:rPr/>
      </w:pPr>
      <w:r>
        <w:rPr/>
      </w:r>
    </w:p>
    <w:p>
      <w:pPr>
        <w:pStyle w:val="Normal"/>
        <w:jc w:val="both"/>
        <w:rPr/>
      </w:pPr>
      <w:r>
        <w:rPr/>
        <w:t>Please confirm that the foregoing correctly sets forth the terms of our agreement by executing the copy of this Confirmation enclosed for that purpose and returning it to us or by sending to us a letter substantially similar to this letter within three Business Days after the date first above written, which letter sets forth the material terms of the Transaction to which this Confirmation relates and indicates agreement to those terms.</w:t>
      </w:r>
    </w:p>
    <w:p>
      <w:pPr>
        <w:pStyle w:val="Normal"/>
        <w:rPr/>
      </w:pPr>
      <w:r>
        <w:rPr/>
      </w:r>
    </w:p>
    <w:p>
      <w:pPr>
        <w:pStyle w:val="Normal"/>
        <w:rPr/>
      </w:pPr>
      <w:r>
        <w:rPr/>
      </w:r>
    </w:p>
    <w:p>
      <w:pPr>
        <w:pStyle w:val="Normal"/>
        <w:rPr/>
      </w:pPr>
      <w:r>
        <w:rPr/>
      </w:r>
    </w:p>
    <w:p>
      <w:pPr>
        <w:pStyle w:val="Normal"/>
        <w:jc w:val="both"/>
        <w:rPr/>
      </w:pPr>
      <w:r>
        <w:rPr/>
        <w:tab/>
        <w:tab/>
        <w:tab/>
        <w:tab/>
        <w:tab/>
        <w:tab/>
        <w:t>Yours sincerely,</w:t>
      </w:r>
    </w:p>
    <w:p>
      <w:pPr>
        <w:pStyle w:val="Normal"/>
        <w:jc w:val="both"/>
        <w:rPr/>
      </w:pPr>
      <w:r>
        <w:rPr/>
      </w:r>
    </w:p>
    <w:p>
      <w:pPr>
        <w:pStyle w:val="Normal"/>
        <w:jc w:val="both"/>
        <w:rPr/>
      </w:pPr>
      <w:r>
        <w:rPr/>
        <w:tab/>
        <w:tab/>
        <w:tab/>
        <w:tab/>
        <w:tab/>
        <w:tab/>
        <w:t>ECT Investments Inc.</w:t>
      </w:r>
    </w:p>
    <w:p>
      <w:pPr>
        <w:pStyle w:val="Normal"/>
        <w:jc w:val="both"/>
        <w:rPr/>
      </w:pPr>
      <w:r>
        <w:rPr/>
      </w:r>
    </w:p>
    <w:p>
      <w:pPr>
        <w:pStyle w:val="Normal"/>
        <w:jc w:val="both"/>
        <w:rPr/>
      </w:pPr>
      <w:r>
        <w:rPr/>
        <w:tab/>
        <w:tab/>
        <w:tab/>
        <w:tab/>
        <w:tab/>
        <w:tab/>
        <w:t xml:space="preserve">By: </w:t>
      </w:r>
      <w:r>
        <w:rPr>
          <w:u w:val="single"/>
        </w:rPr>
        <w:tab/>
        <w:tab/>
        <w:tab/>
        <w:tab/>
        <w:tab/>
        <w:tab/>
      </w:r>
    </w:p>
    <w:p>
      <w:pPr>
        <w:pStyle w:val="Normal"/>
        <w:jc w:val="both"/>
        <w:rPr/>
      </w:pPr>
      <w:r>
        <w:rPr/>
        <w:tab/>
        <w:tab/>
        <w:tab/>
        <w:tab/>
        <w:tab/>
        <w:tab/>
        <w:t>Name:</w:t>
      </w:r>
      <w:r>
        <w:rPr>
          <w:u w:val="single"/>
        </w:rPr>
        <w:tab/>
        <w:tab/>
        <w:tab/>
        <w:tab/>
        <w:tab/>
        <w:tab/>
      </w:r>
    </w:p>
    <w:p>
      <w:pPr>
        <w:pStyle w:val="Normal"/>
        <w:jc w:val="both"/>
        <w:rPr/>
      </w:pPr>
      <w:r>
        <w:rPr/>
        <w:tab/>
        <w:tab/>
        <w:tab/>
        <w:tab/>
        <w:tab/>
        <w:tab/>
        <w:t>Title:</w:t>
      </w:r>
      <w:r>
        <w:rPr>
          <w:u w:val="single"/>
        </w:rPr>
        <w:tab/>
        <w:tab/>
        <w:tab/>
        <w:tab/>
        <w:tab/>
        <w:tab/>
      </w:r>
    </w:p>
    <w:p>
      <w:pPr>
        <w:pStyle w:val="Normal"/>
        <w:jc w:val="both"/>
        <w:rPr/>
      </w:pPr>
      <w:r>
        <w:rPr/>
      </w:r>
    </w:p>
    <w:p>
      <w:pPr>
        <w:pStyle w:val="Normal"/>
        <w:jc w:val="both"/>
        <w:rPr/>
      </w:pPr>
      <w:r>
        <w:rPr/>
        <w:t>Confirmed as of the date first above written:</w:t>
      </w:r>
    </w:p>
    <w:p>
      <w:pPr>
        <w:pStyle w:val="Normal"/>
        <w:jc w:val="both"/>
        <w:rPr/>
      </w:pPr>
      <w:r>
        <w:rPr/>
      </w:r>
    </w:p>
    <w:p>
      <w:pPr>
        <w:pStyle w:val="Normal"/>
        <w:jc w:val="both"/>
        <w:rPr/>
      </w:pPr>
      <w:r>
        <w:rPr/>
        <w:t>Enron Communications Inc.</w:t>
      </w:r>
    </w:p>
    <w:p>
      <w:pPr>
        <w:pStyle w:val="Normal"/>
        <w:jc w:val="both"/>
        <w:rPr/>
      </w:pPr>
      <w:r>
        <w:rPr/>
      </w:r>
    </w:p>
    <w:p>
      <w:pPr>
        <w:pStyle w:val="Normal"/>
        <w:jc w:val="both"/>
        <w:rPr/>
      </w:pPr>
      <w:r>
        <w:rPr/>
        <w:t>By</w:t>
      </w:r>
      <w:r>
        <w:rPr>
          <w:u w:val="single"/>
        </w:rPr>
        <w:t>:</w:t>
        <w:tab/>
        <w:tab/>
        <w:tab/>
        <w:tab/>
        <w:tab/>
      </w:r>
    </w:p>
    <w:p>
      <w:pPr>
        <w:pStyle w:val="Normal"/>
        <w:jc w:val="both"/>
        <w:rPr/>
      </w:pPr>
      <w:r>
        <w:rPr/>
        <w:t>Name:</w:t>
      </w:r>
      <w:r>
        <w:rPr>
          <w:u w:val="single"/>
        </w:rPr>
        <w:tab/>
        <w:tab/>
        <w:tab/>
        <w:tab/>
        <w:tab/>
      </w:r>
    </w:p>
    <w:p>
      <w:pPr>
        <w:pStyle w:val="Normal"/>
        <w:jc w:val="both"/>
        <w:rPr/>
      </w:pPr>
      <w:r>
        <w:rPr/>
        <w:t xml:space="preserve">Title: </w:t>
      </w:r>
      <w:r>
        <w:rPr>
          <w:u w:val="single"/>
        </w:rPr>
        <w:tab/>
        <w:tab/>
        <w:tab/>
        <w:tab/>
        <w:tab/>
      </w:r>
    </w:p>
    <w:sectPr>
      <w:headerReference w:type="default" r:id="rId3"/>
      <w:headerReference w:type="first" r:id="rId4"/>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99-00-0177</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0" w:leader="none"/>
        <w:tab w:val="right" w:pos="3496" w:leader="none"/>
      </w:tabs>
      <w:jc w:val="both"/>
    </w:pPr>
    <w:rPr/>
  </w:style>
  <w:style w:type="paragraph" w:styleId="List">
    <w:name w:val="List"/>
    <w:basedOn w:val="BodyText"/>
    <w:pPr/>
    <w:rPr>
      <w:rFonts w:cs="NotoSans NF"/>
    </w:rPr>
  </w:style>
  <w:style w:type="paragraph" w:styleId="Caption">
    <w:name w:val="caption"/>
    <w:basedOn w:val="Normal"/>
    <w:next w:val="Normal"/>
    <w:qFormat/>
    <w:pPr>
      <w:ind w:firstLine="720" w:start="720" w:end="0"/>
    </w:pPr>
    <w:rPr>
      <w:b/>
      <w:sz w:val="24"/>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sz w:val="24"/>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1999-12-01T18:59:00Z</dcterms:created>
  <dc:creator>laurel adams</dc:creator>
  <dc:description/>
  <dc:language>en-CA</dc:language>
  <cp:lastModifiedBy>laurel adams</cp:lastModifiedBy>
  <cp:lastPrinted>2000-01-12T10:56:00Z</cp:lastPrinted>
  <dcterms:modified xsi:type="dcterms:W3CDTF">2000-02-04T13:10:00Z</dcterms:modified>
  <cp:revision>15</cp:revision>
  <dc:subject/>
  <dc:title> </dc:title>
</cp:coreProperties>
</file>