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821055" cy="8134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1055" cy="813435"/>
                          </a:xfrm>
                          <a:prstGeom prst="rect">
                            <a:avLst/>
                          </a:prstGeom>
                          <a:noFill/>
                        </pic:spPr>
                      </pic:pic>
                    </a:graphicData>
                  </a:graphic>
                </wp:inline>
              </w:drawing>
            </w:r>
          </w:p>
        </w:tc>
        <w:tc>
          <w:tcPr>
            <w:tcW w:w="7740" w:type="dxa"/>
            <w:tcBorders/>
          </w:tcPr>
          <w:p>
            <w:pPr>
              <w:pStyle w:val="Heading"/>
              <w:rPr>
                <w:b w:val="false"/>
                <w:sz w:val="18"/>
              </w:rPr>
            </w:pPr>
            <w:r>
              <w:rPr>
                <w:rFonts w:eastAsia="Arial"/>
              </w:rPr>
              <w:t xml:space="preserve">                                                                          </w:t>
            </w:r>
            <w:r>
              <w:rPr>
                <w:sz w:val="18"/>
              </w:rPr>
              <w:t>Enron Power Marketing, Inc.</w:t>
            </w:r>
          </w:p>
          <w:p>
            <w:pPr>
              <w:pStyle w:val="Heading"/>
              <w:rPr/>
            </w:pPr>
            <w:r>
              <w:rPr>
                <w:rFonts w:eastAsia="Arial"/>
                <w:sz w:val="18"/>
              </w:rPr>
              <w:t xml:space="preserve">                                                                                    </w:t>
            </w:r>
            <w:r>
              <w:rPr>
                <w:rFonts w:eastAsia="Arial"/>
                <w:sz w:val="16"/>
              </w:rPr>
              <w:t xml:space="preserve">                </w:t>
            </w:r>
            <w:r>
              <w:rPr>
                <w:b w:val="false"/>
                <w:i/>
                <w:sz w:val="16"/>
              </w:rPr>
              <w:t>P.O. Box 4428</w:t>
            </w:r>
          </w:p>
          <w:p>
            <w:pPr>
              <w:pStyle w:val="Normal"/>
              <w:rPr>
                <w:rFonts w:ascii="Arial" w:hAnsi="Arial" w:cs="Arial"/>
                <w:i/>
                <w:i/>
                <w:sz w:val="16"/>
              </w:rPr>
            </w:pPr>
            <w:r>
              <w:rPr>
                <w:rFonts w:eastAsia="Arial" w:cs="Arial" w:ascii="Arial" w:hAnsi="Arial"/>
                <w:i/>
                <w:sz w:val="16"/>
              </w:rPr>
              <w:t xml:space="preserve">                                                                                                             </w:t>
            </w:r>
            <w:r>
              <w:rPr>
                <w:rFonts w:cs="Arial" w:ascii="Arial" w:hAnsi="Arial"/>
                <w:i/>
                <w:sz w:val="16"/>
              </w:rPr>
              <w:t>Houston, Texas 77210-4428</w:t>
            </w:r>
          </w:p>
          <w:p>
            <w:pPr>
              <w:pStyle w:val="Normal"/>
              <w:rPr/>
            </w:pPr>
            <w:r>
              <w:rPr>
                <w:sz w:val="16"/>
              </w:rPr>
              <w:t xml:space="preserve">                                                                                                                         </w:t>
            </w:r>
            <w:r>
              <w:rPr>
                <w:rFonts w:cs="Arial" w:ascii="Arial" w:hAnsi="Arial"/>
                <w:i/>
                <w:sz w:val="16"/>
              </w:rPr>
              <w:t>(FAX) (713) 646-2491</w:t>
            </w:r>
          </w:p>
        </w:tc>
      </w:tr>
    </w:tbl>
    <w:p>
      <w:pPr>
        <w:pStyle w:val="Normal"/>
        <w:rPr>
          <w:sz w:val="22"/>
        </w:rPr>
      </w:pPr>
      <w:r>
        <w:rPr>
          <w:sz w:val="22"/>
        </w:rPr>
      </w:r>
    </w:p>
    <w:p>
      <w:pPr>
        <w:pStyle w:val="Normal"/>
        <w:rPr>
          <w:rFonts w:ascii="Arial" w:hAnsi="Arial" w:cs="Arial"/>
          <w:sz w:val="18"/>
        </w:rPr>
      </w:pPr>
      <w:r>
        <w:rPr>
          <w:rFonts w:cs="Arial" w:ascii="Arial" w:hAnsi="Arial"/>
          <w:sz w:val="18"/>
        </w:rPr>
        <w:t>December  __, 2000</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Randy Posejpal</w:t>
      </w:r>
    </w:p>
    <w:p>
      <w:pPr>
        <w:pStyle w:val="Normal"/>
        <w:rPr>
          <w:rFonts w:ascii="Arial" w:hAnsi="Arial" w:cs="Arial"/>
          <w:sz w:val="18"/>
        </w:rPr>
      </w:pPr>
      <w:r>
        <w:rPr>
          <w:rFonts w:cs="Arial" w:ascii="Arial" w:hAnsi="Arial"/>
          <w:sz w:val="18"/>
        </w:rPr>
        <w:t>Calpine Power Services Company</w:t>
      </w:r>
    </w:p>
    <w:p>
      <w:pPr>
        <w:pStyle w:val="Normal"/>
        <w:rPr>
          <w:rFonts w:ascii="Arial" w:hAnsi="Arial" w:cs="Arial"/>
          <w:sz w:val="18"/>
        </w:rPr>
      </w:pPr>
      <w:r>
        <w:rPr>
          <w:rFonts w:cs="Arial" w:ascii="Arial" w:hAnsi="Arial"/>
          <w:sz w:val="18"/>
        </w:rPr>
        <w:t>700 Louisiana Ste 2350</w:t>
      </w:r>
    </w:p>
    <w:p>
      <w:pPr>
        <w:pStyle w:val="Normal"/>
        <w:rPr>
          <w:rFonts w:ascii="Arial" w:hAnsi="Arial" w:cs="Arial"/>
          <w:sz w:val="18"/>
        </w:rPr>
      </w:pPr>
      <w:r>
        <w:rPr>
          <w:rFonts w:cs="Arial" w:ascii="Arial" w:hAnsi="Arial"/>
          <w:sz w:val="18"/>
        </w:rPr>
        <w:t>Houston, TX  77002</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FAX: (713) 830-8749</w:t>
      </w:r>
    </w:p>
    <w:p>
      <w:pPr>
        <w:pStyle w:val="Normal"/>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CONFIRMATION LETTER</w:t>
      </w:r>
    </w:p>
    <w:p>
      <w:pPr>
        <w:pStyle w:val="Normal"/>
        <w:rPr>
          <w:rFonts w:ascii="Arial" w:hAnsi="Arial" w:cs="Arial"/>
          <w:sz w:val="18"/>
        </w:rPr>
      </w:pPr>
      <w:r>
        <w:rPr>
          <w:rFonts w:cs="Arial" w:ascii="Arial" w:hAnsi="Arial"/>
          <w:sz w:val="18"/>
        </w:rPr>
      </w:r>
    </w:p>
    <w:p>
      <w:pPr>
        <w:pStyle w:val="Normal"/>
        <w:jc w:val="both"/>
        <w:rPr/>
      </w:pPr>
      <w:r>
        <w:rPr>
          <w:rFonts w:cs="Arial" w:ascii="Arial" w:hAnsi="Arial"/>
          <w:sz w:val="18"/>
        </w:rPr>
        <w:t xml:space="preserve">This </w:t>
      </w:r>
      <w:ins w:id="0" w:author="dportz" w:date="2000-12-07T11:47:00Z">
        <w:r>
          <w:rPr>
            <w:rFonts w:cs="Arial" w:ascii="Arial" w:hAnsi="Arial"/>
            <w:sz w:val="18"/>
          </w:rPr>
          <w:t xml:space="preserve">confirmation </w:t>
        </w:r>
      </w:ins>
      <w:r>
        <w:rPr>
          <w:rFonts w:cs="Arial" w:ascii="Arial" w:hAnsi="Arial"/>
          <w:sz w:val="18"/>
        </w:rPr>
        <w:t xml:space="preserve">letter </w:t>
      </w:r>
      <w:ins w:id="1" w:author="dportz" w:date="2000-12-07T11:47:00Z">
        <w:r>
          <w:rPr>
            <w:rFonts w:cs="Arial" w:ascii="Arial" w:hAnsi="Arial"/>
            <w:sz w:val="18"/>
          </w:rPr>
          <w:t xml:space="preserve">dated December  __, 2000 (the “Effective Date”) </w:t>
        </w:r>
      </w:ins>
      <w:r>
        <w:rPr>
          <w:rFonts w:cs="Arial" w:ascii="Arial" w:hAnsi="Arial"/>
          <w:sz w:val="18"/>
        </w:rPr>
        <w:t>shall confirm the agreement reached on November 6, 2000 between Calpine Energy Services L.P. and Enron Power Marketing, Inc. (“EPMI”) regarding the sale of Unplanned B Undelivered energy in ERCOT under the terms and conditions as follows:</w:t>
      </w:r>
    </w:p>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Seller:</w:t>
            </w:r>
          </w:p>
        </w:tc>
        <w:tc>
          <w:tcPr>
            <w:tcW w:w="8280" w:type="dxa"/>
            <w:tcBorders/>
          </w:tcPr>
          <w:p>
            <w:pPr>
              <w:pStyle w:val="Normal"/>
              <w:rPr>
                <w:rFonts w:ascii="Arial" w:hAnsi="Arial" w:cs="Arial"/>
                <w:sz w:val="18"/>
              </w:rPr>
            </w:pPr>
            <w:r>
              <w:rPr>
                <w:rFonts w:cs="Arial" w:ascii="Arial" w:hAnsi="Arial"/>
                <w:sz w:val="18"/>
              </w:rPr>
              <w:t>Calpine Energy Services L.P.</w:t>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Buyer:</w:t>
            </w:r>
          </w:p>
        </w:tc>
        <w:tc>
          <w:tcPr>
            <w:tcW w:w="8280" w:type="dxa"/>
            <w:tcBorders/>
          </w:tcPr>
          <w:p>
            <w:pPr>
              <w:pStyle w:val="Normal"/>
              <w:rPr>
                <w:rFonts w:ascii="Arial" w:hAnsi="Arial" w:cs="Arial"/>
                <w:sz w:val="18"/>
              </w:rPr>
            </w:pPr>
            <w:r>
              <w:rPr>
                <w:rFonts w:cs="Arial" w:ascii="Arial" w:hAnsi="Arial"/>
                <w:sz w:val="18"/>
              </w:rPr>
              <w:t>Enron Power Marketing, Inc.</w:t>
            </w:r>
          </w:p>
        </w:tc>
      </w:tr>
    </w:tbl>
    <w:p>
      <w:pPr>
        <w:pStyle w:val="Normal"/>
        <w:rPr>
          <w:rFonts w:ascii="Arial" w:hAnsi="Arial" w:cs="Arial"/>
          <w:sz w:val="18"/>
        </w:rPr>
      </w:pPr>
      <w:r>
        <w:rPr>
          <w:rFonts w:cs="Arial" w:ascii="Arial" w:hAnsi="Arial"/>
          <w:sz w:val="18"/>
        </w:rPr>
      </w:r>
    </w:p>
    <w:tbl>
      <w:tblPr>
        <w:tblW w:w="9918" w:type="dxa"/>
        <w:jc w:val="start"/>
        <w:tblInd w:w="0" w:type="dxa"/>
        <w:tblLayout w:type="fixed"/>
        <w:tblCellMar>
          <w:top w:w="0" w:type="dxa"/>
          <w:start w:w="108" w:type="dxa"/>
          <w:bottom w:w="0" w:type="dxa"/>
          <w:end w:w="108" w:type="dxa"/>
        </w:tblCellMar>
      </w:tblPr>
      <w:tblGrid>
        <w:gridCol w:w="1548"/>
        <w:gridCol w:w="8370"/>
      </w:tblGrid>
      <w:tr>
        <w:trPr/>
        <w:tc>
          <w:tcPr>
            <w:tcW w:w="1548" w:type="dxa"/>
            <w:tcBorders/>
          </w:tcPr>
          <w:p>
            <w:pPr>
              <w:pStyle w:val="Normal"/>
              <w:rPr>
                <w:rFonts w:ascii="Arial" w:hAnsi="Arial" w:cs="Arial"/>
                <w:sz w:val="18"/>
              </w:rPr>
            </w:pPr>
            <w:r>
              <w:rPr>
                <w:rFonts w:cs="Arial" w:ascii="Arial" w:hAnsi="Arial"/>
                <w:sz w:val="18"/>
              </w:rPr>
              <w:t>Term:</w:t>
            </w:r>
          </w:p>
        </w:tc>
        <w:tc>
          <w:tcPr>
            <w:tcW w:w="8370" w:type="dxa"/>
            <w:tcBorders/>
          </w:tcPr>
          <w:p>
            <w:pPr>
              <w:pStyle w:val="Normal"/>
              <w:rPr/>
            </w:pPr>
            <w:r>
              <w:rPr>
                <w:rFonts w:cs="Arial" w:ascii="Arial" w:hAnsi="Arial"/>
                <w:sz w:val="18"/>
              </w:rPr>
              <w:t>January 1, 2002 through December 31, 2006 (As used herein, “</w:t>
            </w:r>
            <w:r>
              <w:rPr>
                <w:rFonts w:cs="Arial" w:ascii="Arial" w:hAnsi="Arial"/>
                <w:sz w:val="18"/>
                <w:u w:val="single"/>
              </w:rPr>
              <w:t>Determination Period</w:t>
            </w:r>
            <w:r>
              <w:rPr>
                <w:rFonts w:cs="Arial" w:ascii="Arial" w:hAnsi="Arial"/>
                <w:sz w:val="18"/>
              </w:rPr>
              <w:t>” means each calendar month during the Term)</w:t>
            </w:r>
          </w:p>
          <w:p>
            <w:pPr>
              <w:pStyle w:val="Normal"/>
              <w:rPr>
                <w:rFonts w:ascii="Arial" w:hAnsi="Arial" w:cs="Arial"/>
                <w:sz w:val="18"/>
              </w:rPr>
            </w:pPr>
            <w:r>
              <w:rPr>
                <w:rFonts w:cs="Arial" w:ascii="Arial" w:hAnsi="Arial"/>
                <w:sz w:val="18"/>
              </w:rPr>
              <w:t>Hour Ending (HE) 0100 through HE 0600 and HE 2300 through HE 2400 (8 hours each day),</w:t>
            </w:r>
          </w:p>
          <w:p>
            <w:pPr>
              <w:pStyle w:val="Normal"/>
              <w:rPr>
                <w:rFonts w:ascii="Arial" w:hAnsi="Arial" w:cs="Arial"/>
                <w:sz w:val="18"/>
              </w:rPr>
            </w:pPr>
            <w:r>
              <w:rPr>
                <w:rFonts w:cs="Arial" w:ascii="Arial" w:hAnsi="Arial"/>
                <w:sz w:val="18"/>
              </w:rPr>
              <w:t>Monday through Friday only; HE 0100 through HE 2400 (24 hours each day), Saturdays, Sundays, and NERC Holidays; Central Prevailing Time</w:t>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 xml:space="preserve">Price </w:t>
            </w:r>
            <w:ins w:id="2" w:author="dportz" w:date="2000-12-06T16:48:00Z">
              <w:r>
                <w:rPr>
                  <w:rFonts w:cs="Arial" w:ascii="Arial" w:hAnsi="Arial"/>
                  <w:sz w:val="18"/>
                </w:rPr>
                <w:t>(per MWh):</w:t>
              </w:r>
            </w:ins>
          </w:p>
        </w:tc>
        <w:tc>
          <w:tcPr>
            <w:tcW w:w="8280" w:type="dxa"/>
            <w:tcBorders/>
          </w:tcPr>
          <w:p>
            <w:pPr>
              <w:pStyle w:val="Normal"/>
              <w:rPr/>
            </w:pPr>
            <w:r>
              <w:rPr>
                <w:rFonts w:cs="Arial" w:ascii="Arial" w:hAnsi="Arial"/>
                <w:sz w:val="18"/>
              </w:rPr>
              <w:t>The Houston Ship Channel Index (“Index”) Price (“</w:t>
            </w:r>
            <w:r>
              <w:rPr>
                <w:rFonts w:cs="Arial" w:ascii="Arial" w:hAnsi="Arial"/>
                <w:sz w:val="18"/>
                <w:u w:val="single"/>
              </w:rPr>
              <w:t>Floating Price</w:t>
            </w:r>
            <w:r>
              <w:rPr>
                <w:rFonts w:cs="Arial" w:ascii="Arial" w:hAnsi="Arial"/>
                <w:sz w:val="18"/>
              </w:rPr>
              <w:t>”) published for such Determination Period in the “Market Center Spot-Gas Prices” section of the first issue of Inside F.E.R.C.’s Gas Market Report during the applicable Determination Period (the “Price Source”) multiplied by 7.</w:t>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Quantity:</w:t>
            </w:r>
          </w:p>
        </w:tc>
        <w:tc>
          <w:tcPr>
            <w:tcW w:w="8280" w:type="dxa"/>
            <w:tcBorders/>
          </w:tcPr>
          <w:p>
            <w:pPr>
              <w:pStyle w:val="Normal"/>
              <w:rPr>
                <w:rFonts w:ascii="Arial" w:hAnsi="Arial" w:cs="Arial"/>
                <w:sz w:val="18"/>
                <w:ins w:id="3" w:author="dportz" w:date="2000-12-07T11:59:00Z"/>
              </w:rPr>
            </w:pPr>
            <w:r>
              <w:rPr>
                <w:rFonts w:cs="Arial" w:ascii="Arial" w:hAnsi="Arial"/>
                <w:sz w:val="18"/>
              </w:rPr>
              <w:t>150 MWs of Unplanned B Undelivered energy per hour.</w:t>
            </w:r>
          </w:p>
          <w:p>
            <w:pPr>
              <w:pStyle w:val="Normal"/>
              <w:rPr>
                <w:rFonts w:ascii="Arial" w:hAnsi="Arial" w:cs="Arial"/>
                <w:sz w:val="18"/>
              </w:rPr>
            </w:pPr>
            <w:r>
              <w:rPr>
                <w:rFonts w:cs="Arial" w:ascii="Arial" w:hAnsi="Arial"/>
                <w:sz w:val="18"/>
              </w:rPr>
            </w:r>
          </w:p>
        </w:tc>
      </w:tr>
      <w:tr>
        <w:trPr/>
        <w:tc>
          <w:tcPr>
            <w:tcW w:w="1548" w:type="dxa"/>
            <w:tcBorders/>
          </w:tcPr>
          <w:p>
            <w:pPr>
              <w:pStyle w:val="Normal"/>
              <w:rPr>
                <w:rFonts w:ascii="Arial" w:hAnsi="Arial" w:cs="Arial"/>
                <w:sz w:val="18"/>
              </w:rPr>
            </w:pPr>
            <w:ins w:id="4" w:author="dportz" w:date="2000-12-07T11:46:00Z">
              <w:r>
                <w:rPr>
                  <w:rFonts w:cs="Arial" w:ascii="Arial" w:hAnsi="Arial"/>
                  <w:sz w:val="18"/>
                </w:rPr>
                <w:t>Product:</w:t>
              </w:r>
            </w:ins>
          </w:p>
        </w:tc>
        <w:tc>
          <w:tcPr>
            <w:tcW w:w="8280" w:type="dxa"/>
            <w:tcBorders/>
          </w:tcPr>
          <w:p>
            <w:pPr>
              <w:pStyle w:val="Normal"/>
              <w:rPr/>
            </w:pPr>
            <w:ins w:id="5" w:author="dportz" w:date="2000-12-07T11:46:00Z">
              <w:r>
                <w:rPr>
                  <w:rFonts w:cs="Arial" w:ascii="Arial" w:hAnsi="Arial"/>
                  <w:sz w:val="18"/>
                </w:rPr>
                <w:t>Unplanned B Undelivered energy</w:t>
              </w:r>
            </w:ins>
            <w:ins w:id="6" w:author="dportz" w:date="2000-12-07T11:57:00Z">
              <w:r>
                <w:rPr>
                  <w:rFonts w:cs="Arial" w:ascii="Arial" w:hAnsi="Arial"/>
                  <w:sz w:val="18"/>
                </w:rPr>
                <w:t>,</w:t>
              </w:r>
            </w:ins>
            <w:ins w:id="7" w:author="dportz" w:date="2000-12-07T11:51:00Z">
              <w:r>
                <w:rPr>
                  <w:rFonts w:cs="Arial" w:ascii="Arial" w:hAnsi="Arial"/>
                  <w:sz w:val="18"/>
                </w:rPr>
                <w:t xml:space="preserve"> consistent with the ERCOT Operating Guides and Market Guides in effect as of the Effective Date</w:t>
              </w:r>
            </w:ins>
            <w:ins w:id="8" w:author="dportz" w:date="2000-12-07T11:57:00Z">
              <w:r>
                <w:rPr>
                  <w:rFonts w:cs="Arial" w:ascii="Arial" w:hAnsi="Arial"/>
                  <w:sz w:val="18"/>
                </w:rPr>
                <w:t>, subject to the terms of the second last paragraph of this confirmation letter</w:t>
              </w:r>
            </w:ins>
            <w:ins w:id="9" w:author="dportz" w:date="2000-12-07T11:46:00Z">
              <w:r>
                <w:rPr>
                  <w:rFonts w:cs="Arial" w:ascii="Arial" w:hAnsi="Arial"/>
                  <w:sz w:val="18"/>
                </w:rPr>
                <w:t xml:space="preserve">.  </w:t>
              </w:r>
            </w:ins>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Delivery Point:</w:t>
            </w:r>
          </w:p>
        </w:tc>
        <w:tc>
          <w:tcPr>
            <w:tcW w:w="8280" w:type="dxa"/>
            <w:tcBorders/>
          </w:tcPr>
          <w:p>
            <w:pPr>
              <w:pStyle w:val="Normal"/>
              <w:rPr/>
            </w:pPr>
            <w:r>
              <w:rPr>
                <w:rFonts w:cs="Arial" w:ascii="Arial" w:hAnsi="Arial"/>
                <w:sz w:val="18"/>
              </w:rPr>
              <w:t xml:space="preserve">ERCOT System, </w:t>
            </w:r>
            <w:del w:id="10" w:author="dportz" w:date="2000-12-06T17:08:00Z">
              <w:r>
                <w:rPr>
                  <w:rFonts w:cs="Arial" w:ascii="Arial" w:hAnsi="Arial"/>
                  <w:sz w:val="18"/>
                </w:rPr>
                <w:delText>u</w:delText>
              </w:r>
            </w:del>
            <w:ins w:id="11" w:author="dportz" w:date="2000-12-06T17:08:00Z">
              <w:r>
                <w:rPr>
                  <w:rFonts w:cs="Arial" w:ascii="Arial" w:hAnsi="Arial"/>
                  <w:sz w:val="18"/>
                </w:rPr>
                <w:t>U</w:t>
              </w:r>
            </w:ins>
            <w:r>
              <w:rPr>
                <w:rFonts w:cs="Arial" w:ascii="Arial" w:hAnsi="Arial"/>
                <w:sz w:val="18"/>
              </w:rPr>
              <w:t>ndelivered</w:t>
            </w:r>
          </w:p>
        </w:tc>
      </w:tr>
    </w:tbl>
    <w:p>
      <w:pPr>
        <w:pStyle w:val="Normal"/>
        <w:rPr>
          <w:rFonts w:ascii="Arial" w:hAnsi="Arial" w:cs="Arial"/>
          <w:sz w:val="18"/>
        </w:rPr>
      </w:pPr>
      <w:r>
        <w:rPr>
          <w:rFonts w:cs="Arial" w:ascii="Arial" w:hAnsi="Arial"/>
          <w:sz w:val="18"/>
        </w:rPr>
      </w:r>
    </w:p>
    <w:tbl>
      <w:tblPr>
        <w:tblW w:w="9810" w:type="dxa"/>
        <w:jc w:val="start"/>
        <w:tblInd w:w="18" w:type="dxa"/>
        <w:tblLayout w:type="fixed"/>
        <w:tblCellMar>
          <w:top w:w="0" w:type="dxa"/>
          <w:start w:w="108" w:type="dxa"/>
          <w:bottom w:w="0" w:type="dxa"/>
          <w:end w:w="108" w:type="dxa"/>
        </w:tblCellMar>
      </w:tblPr>
      <w:tblGrid>
        <w:gridCol w:w="1545"/>
        <w:gridCol w:w="8265"/>
      </w:tblGrid>
      <w:tr>
        <w:trPr/>
        <w:tc>
          <w:tcPr>
            <w:tcW w:w="1545" w:type="dxa"/>
            <w:tcBorders/>
          </w:tcPr>
          <w:p>
            <w:pPr>
              <w:pStyle w:val="Normal"/>
              <w:rPr>
                <w:rFonts w:ascii="Arial" w:hAnsi="Arial" w:cs="Arial"/>
                <w:sz w:val="18"/>
              </w:rPr>
            </w:pPr>
            <w:r>
              <w:rPr>
                <w:rFonts w:cs="Arial" w:ascii="Arial" w:hAnsi="Arial"/>
                <w:sz w:val="18"/>
              </w:rPr>
              <w:t>Scheduling:</w:t>
            </w:r>
          </w:p>
        </w:tc>
        <w:tc>
          <w:tcPr>
            <w:tcW w:w="8265" w:type="dxa"/>
            <w:tcBorders/>
          </w:tcPr>
          <w:p>
            <w:pPr>
              <w:pStyle w:val="Normal"/>
              <w:jc w:val="both"/>
              <w:rPr>
                <w:rFonts w:ascii="Arial" w:hAnsi="Arial" w:cs="Arial"/>
                <w:sz w:val="18"/>
              </w:rPr>
            </w:pPr>
            <w:r>
              <w:rPr>
                <w:rFonts w:cs="Arial" w:ascii="Arial" w:hAnsi="Arial"/>
                <w:sz w:val="18"/>
              </w:rPr>
              <w:t>EPMI Real Time Operations:  1-800-349-5527</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t>Seller shall notify Buyer of delivery point by 11:00 a.m. CPT on the business day preceding the scheduled delivery.</w:t>
            </w:r>
          </w:p>
          <w:p>
            <w:pPr>
              <w:pStyle w:val="Normal"/>
              <w:jc w:val="both"/>
              <w:rPr>
                <w:rFonts w:ascii="Arial" w:hAnsi="Arial" w:cs="Arial"/>
                <w:sz w:val="18"/>
              </w:rPr>
            </w:pPr>
            <w:r>
              <w:rPr>
                <w:rFonts w:cs="Arial" w:ascii="Arial" w:hAnsi="Arial"/>
                <w:sz w:val="18"/>
              </w:rPr>
            </w:r>
          </w:p>
        </w:tc>
      </w:tr>
    </w:tbl>
    <w:p>
      <w:pPr>
        <w:pStyle w:val="Normal"/>
        <w:jc w:val="both"/>
        <w:rPr>
          <w:rFonts w:ascii="Arial" w:hAnsi="Arial" w:cs="Arial"/>
          <w:sz w:val="18"/>
        </w:rPr>
      </w:pPr>
      <w:r>
        <w:rPr>
          <w:rFonts w:cs="Arial" w:ascii="Arial" w:hAnsi="Arial"/>
          <w:sz w:val="18"/>
        </w:rPr>
      </w:r>
    </w:p>
    <w:p>
      <w:pPr>
        <w:pStyle w:val="Heading1"/>
        <w:ind w:hanging="0" w:start="0"/>
        <w:rPr/>
      </w:pPr>
      <w:r>
        <w:rPr/>
        <w:t>Index Price Determination</w:t>
      </w:r>
    </w:p>
    <w:p>
      <w:pPr>
        <w:pStyle w:val="Normal"/>
        <w:rPr/>
      </w:pPr>
      <w:r>
        <w:rPr/>
      </w:r>
    </w:p>
    <w:p>
      <w:pPr>
        <w:pStyle w:val="Normal"/>
        <w:ind w:start="720" w:end="0"/>
        <w:jc w:val="both"/>
        <w:rPr/>
      </w:pPr>
      <w:r>
        <w:rPr>
          <w:rFonts w:cs="Arial" w:ascii="Arial" w:hAnsi="Arial"/>
          <w:sz w:val="18"/>
          <w:u w:val="single"/>
        </w:rPr>
        <w:t>Market Disruption</w:t>
      </w:r>
      <w:r>
        <w:rPr>
          <w:rFonts w:cs="Arial" w:ascii="Arial" w:hAnsi="Arial"/>
          <w:sz w:val="18"/>
        </w:rPr>
        <w:t xml:space="preserve">.  If a Market Disruption Event has occurred and is continuing during the Determination Period, the Floating Price for the Trading Days within such Determination Period shall be determined pursuant to the Floating Price published for the Determination Period on the first Trading Day thereafter on which no Market Disruption Event exists;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if the Floating Price is not so determined by the last Trading Day of the Determination Period during which the Market Disruption Event occurred or existed, then the Parties shall negotiate in good faith to agree on a Floating Price (or a method for determining a Floating Price), and if the Parties have not so agreed on or before the twelfth Business Day following the last Trading Day of the Determination Period during which the Market Disruption Event occurred or existed, then the Floating Price shall be determined with each Party obtaining in good faith a quote from a leading dealer in the relevant market and averaging the two quotes.</w:t>
      </w:r>
    </w:p>
    <w:p>
      <w:pPr>
        <w:pStyle w:val="Normal"/>
        <w:ind w:start="1440" w:end="0"/>
        <w:jc w:val="both"/>
        <w:rPr>
          <w:rFonts w:ascii="Arial" w:hAnsi="Arial" w:cs="Arial"/>
          <w:sz w:val="18"/>
        </w:rPr>
      </w:pPr>
      <w:r>
        <w:rPr>
          <w:rFonts w:cs="Arial" w:ascii="Arial" w:hAnsi="Arial"/>
          <w:sz w:val="18"/>
        </w:rPr>
      </w:r>
    </w:p>
    <w:p>
      <w:pPr>
        <w:pStyle w:val="Normal"/>
        <w:ind w:start="1440" w:end="0"/>
        <w:jc w:val="both"/>
        <w:rPr/>
      </w:pPr>
      <w:r>
        <w:rPr>
          <w:rFonts w:cs="Arial" w:ascii="Arial" w:hAnsi="Arial"/>
          <w:sz w:val="18"/>
        </w:rPr>
        <w:t>“</w:t>
      </w:r>
      <w:r>
        <w:rPr>
          <w:rFonts w:cs="Arial" w:ascii="Arial" w:hAnsi="Arial"/>
          <w:sz w:val="18"/>
          <w:u w:val="single"/>
        </w:rPr>
        <w:t>Trading Day</w:t>
      </w:r>
      <w:r>
        <w:rPr>
          <w:rFonts w:cs="Arial" w:ascii="Arial" w:hAnsi="Arial"/>
          <w:sz w:val="18"/>
        </w:rPr>
        <w:t>” means a day in respect of which the Price Source published or was to publish the relevant price.</w:t>
      </w:r>
    </w:p>
    <w:p>
      <w:pPr>
        <w:pStyle w:val="Normal"/>
        <w:ind w:start="1440" w:end="0"/>
        <w:jc w:val="both"/>
        <w:rPr>
          <w:rFonts w:ascii="Arial" w:hAnsi="Arial" w:cs="Arial"/>
          <w:sz w:val="18"/>
        </w:rPr>
      </w:pPr>
      <w:r>
        <w:rPr>
          <w:rFonts w:cs="Arial" w:ascii="Arial" w:hAnsi="Arial"/>
          <w:sz w:val="18"/>
        </w:rPr>
      </w:r>
    </w:p>
    <w:p>
      <w:pPr>
        <w:pStyle w:val="Normal"/>
        <w:ind w:start="1440" w:end="0"/>
        <w:jc w:val="both"/>
        <w:rPr/>
      </w:pPr>
      <w:r>
        <w:rPr>
          <w:rFonts w:cs="Arial" w:ascii="Arial" w:hAnsi="Arial"/>
          <w:sz w:val="18"/>
          <w:u w:val="single"/>
        </w:rPr>
        <w:t>"Market Disruption Event</w:t>
      </w:r>
      <w:r>
        <w:rPr>
          <w:rFonts w:cs="Arial" w:ascii="Arial" w:hAnsi="Arial"/>
          <w:sz w:val="18"/>
        </w:rPr>
        <w:t>" means, with respect to the Index, any of the following events (the existence of which shall be determined in good faith by the Parties):  (a) the failure of the Price Source to publish information necessary for determining the Floating Price hereunder; (b) the failure of trading to commence or the permanent discontinuation or material suspension of trading in the relevant commodity in the market establishing the Index; (c) the temporary or permanent discontinuance or unavailability of the Index; or (d) a material change in the formula for or the method of determining the Floating Price.</w:t>
      </w:r>
    </w:p>
    <w:p>
      <w:pPr>
        <w:pStyle w:val="Normal"/>
        <w:ind w:start="1440" w:end="0"/>
        <w:jc w:val="both"/>
        <w:rPr>
          <w:rFonts w:ascii="Arial" w:hAnsi="Arial" w:cs="Arial"/>
          <w:sz w:val="18"/>
        </w:rPr>
      </w:pPr>
      <w:r>
        <w:rPr>
          <w:rFonts w:cs="Arial" w:ascii="Arial" w:hAnsi="Arial"/>
          <w:sz w:val="18"/>
        </w:rPr>
      </w:r>
    </w:p>
    <w:p>
      <w:pPr>
        <w:pStyle w:val="BodyText"/>
        <w:ind w:start="720" w:end="0"/>
        <w:rPr/>
      </w:pPr>
      <w:r>
        <w:rPr>
          <w:rFonts w:cs="Arial" w:ascii="Arial" w:hAnsi="Arial"/>
          <w:b w:val="false"/>
          <w:sz w:val="18"/>
          <w:u w:val="single"/>
        </w:rPr>
        <w:t>Corrections to Published Prices</w:t>
      </w:r>
      <w:r>
        <w:rPr>
          <w:rFonts w:cs="Arial" w:ascii="Arial" w:hAnsi="Arial"/>
          <w:b w:val="false"/>
          <w:sz w:val="18"/>
        </w:rPr>
        <w:t>.  For purposes of determining the relevant prices for any day, if the Floating Price published on a given day and used or to be used to determine a relevant price is subsequently corrected and the correction is published or announced by the Price Source,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(as defined in the Agreement)  for the period from and including the day on which payment originally was (or was not) made to but excluding the day of payment of the refund or payment resulting from that correction.</w:t>
      </w:r>
    </w:p>
    <w:p>
      <w:pPr>
        <w:pStyle w:val="Normal"/>
        <w:jc w:val="both"/>
        <w:rPr>
          <w:rFonts w:ascii="Arial" w:hAnsi="Arial" w:cs="Arial"/>
          <w:b/>
          <w:sz w:val="18"/>
        </w:rPr>
      </w:pPr>
      <w:r>
        <w:rPr>
          <w:rFonts w:cs="Arial" w:ascii="Arial" w:hAnsi="Arial"/>
          <w:b/>
          <w:sz w:val="18"/>
        </w:rPr>
      </w:r>
    </w:p>
    <w:p>
      <w:pPr>
        <w:pStyle w:val="Normal"/>
        <w:jc w:val="both"/>
        <w:rPr/>
      </w:pPr>
      <w:r>
        <w:rPr>
          <w:rFonts w:cs="Arial" w:ascii="Arial" w:hAnsi="Arial"/>
          <w:sz w:val="18"/>
          <w:u w:val="single"/>
        </w:rPr>
        <w:t>Confidentiality</w:t>
      </w:r>
      <w:r>
        <w:rPr>
          <w:rFonts w:cs="Arial" w:ascii="Arial" w:hAnsi="Arial"/>
          <w:sz w:val="18"/>
        </w:rPr>
        <w:t xml:space="preserve">.  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  </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sz w:val="18"/>
          <w:u w:val="single"/>
        </w:rPr>
        <w:t>Governing Agreement</w:t>
      </w:r>
      <w:r>
        <w:rPr>
          <w:rFonts w:cs="Arial" w:ascii="Arial" w:hAnsi="Arial"/>
          <w:sz w:val="18"/>
        </w:rPr>
        <w:t xml:space="preserve">. This confirmation letter is being provided pursuant to and in accordance with the Master Energy Purchase and Sale Agreement between Enron Power Marketing, Inc. and Calpine Power Services Company dated December 27, 1999,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  Upon </w:t>
      </w:r>
      <w:ins w:id="12" w:author="dportz" w:date="2000-12-06T16:58:00Z">
        <w:r>
          <w:rPr>
            <w:rFonts w:cs="Arial" w:ascii="Arial" w:hAnsi="Arial"/>
            <w:sz w:val="18"/>
          </w:rPr>
          <w:t xml:space="preserve">(i) ERCOT or ERCOT industry participants’ action to </w:t>
        </w:r>
      </w:ins>
      <w:ins w:id="13" w:author="dportz" w:date="2000-12-06T17:06:00Z">
        <w:r>
          <w:rPr>
            <w:rFonts w:cs="Arial" w:ascii="Arial" w:hAnsi="Arial"/>
            <w:sz w:val="18"/>
          </w:rPr>
          <w:t>alter/</w:t>
        </w:r>
      </w:ins>
      <w:ins w:id="14" w:author="dportz" w:date="2000-12-06T16:58:00Z">
        <w:r>
          <w:rPr>
            <w:rFonts w:cs="Arial" w:ascii="Arial" w:hAnsi="Arial"/>
            <w:sz w:val="18"/>
          </w:rPr>
          <w:t xml:space="preserve">redefine products and/or transmission </w:t>
        </w:r>
      </w:ins>
      <w:ins w:id="15" w:author="dportz" w:date="2000-12-06T17:06:00Z">
        <w:r>
          <w:rPr>
            <w:rFonts w:cs="Arial" w:ascii="Arial" w:hAnsi="Arial"/>
            <w:sz w:val="18"/>
          </w:rPr>
          <w:t>associated therewith</w:t>
        </w:r>
      </w:ins>
      <w:ins w:id="16" w:author="dportz" w:date="2000-12-06T16:58:00Z">
        <w:r>
          <w:rPr>
            <w:rFonts w:cs="Arial" w:ascii="Arial" w:hAnsi="Arial"/>
            <w:sz w:val="18"/>
          </w:rPr>
          <w:t xml:space="preserve"> which affects the Unplanned B Undelivered product specified herein,</w:t>
        </w:r>
      </w:ins>
      <w:r>
        <w:rPr>
          <w:rFonts w:cs="Arial" w:ascii="Arial" w:hAnsi="Arial"/>
          <w:sz w:val="18"/>
        </w:rPr>
        <w:t xml:space="preserve"> </w:t>
      </w:r>
      <w:ins w:id="17" w:author="dportz" w:date="2000-12-06T16:58:00Z">
        <w:r>
          <w:rPr>
            <w:rFonts w:cs="Arial" w:ascii="Arial" w:hAnsi="Arial"/>
            <w:sz w:val="18"/>
          </w:rPr>
          <w:t xml:space="preserve">and/or </w:t>
        </w:r>
      </w:ins>
      <w:ins w:id="18" w:author="dportz" w:date="2000-12-06T16:55:00Z">
        <w:r>
          <w:rPr>
            <w:rFonts w:cs="Arial" w:ascii="Arial" w:hAnsi="Arial"/>
            <w:sz w:val="18"/>
          </w:rPr>
          <w:t>(</w:t>
        </w:r>
      </w:ins>
      <w:ins w:id="19" w:author="dportz" w:date="2000-12-06T16:58:00Z">
        <w:r>
          <w:rPr>
            <w:rFonts w:cs="Arial" w:ascii="Arial" w:hAnsi="Arial"/>
            <w:sz w:val="18"/>
          </w:rPr>
          <w:t>i</w:t>
        </w:r>
      </w:ins>
      <w:ins w:id="20" w:author="dportz" w:date="2000-12-06T16:55:00Z">
        <w:r>
          <w:rPr>
            <w:rFonts w:cs="Arial" w:ascii="Arial" w:hAnsi="Arial"/>
            <w:sz w:val="18"/>
          </w:rPr>
          <w:t xml:space="preserve">i) </w:t>
        </w:r>
      </w:ins>
      <w:del w:id="21" w:author="dportz" w:date="2000-12-06T17:07:00Z">
        <w:r>
          <w:rPr>
            <w:rFonts w:cs="Arial" w:ascii="Arial" w:hAnsi="Arial"/>
            <w:sz w:val="18"/>
          </w:rPr>
          <w:delText xml:space="preserve">the </w:delText>
        </w:r>
      </w:del>
      <w:r>
        <w:rPr>
          <w:rFonts w:cs="Arial" w:ascii="Arial" w:hAnsi="Arial"/>
          <w:sz w:val="18"/>
        </w:rPr>
        <w:t xml:space="preserve">finalization </w:t>
      </w:r>
      <w:ins w:id="22" w:author="dportz" w:date="2000-12-06T17:07:00Z">
        <w:r>
          <w:rPr>
            <w:rFonts w:cs="Arial" w:ascii="Arial" w:hAnsi="Arial"/>
            <w:sz w:val="18"/>
          </w:rPr>
          <w:t>and/</w:t>
        </w:r>
      </w:ins>
      <w:ins w:id="23" w:author="dportz" w:date="2000-12-06T16:55:00Z">
        <w:r>
          <w:rPr>
            <w:rFonts w:cs="Arial" w:ascii="Arial" w:hAnsi="Arial"/>
            <w:sz w:val="18"/>
          </w:rPr>
          <w:t xml:space="preserve">or </w:t>
        </w:r>
      </w:ins>
      <w:ins w:id="24" w:author="dportz" w:date="2000-12-06T16:53:00Z">
        <w:r>
          <w:rPr>
            <w:rFonts w:cs="Arial" w:ascii="Arial" w:hAnsi="Arial"/>
            <w:sz w:val="18"/>
          </w:rPr>
          <w:t xml:space="preserve">subsequent </w:t>
        </w:r>
      </w:ins>
      <w:ins w:id="25" w:author="dportz" w:date="2000-12-06T16:56:00Z">
        <w:r>
          <w:rPr>
            <w:rFonts w:cs="Arial" w:ascii="Arial" w:hAnsi="Arial"/>
            <w:sz w:val="18"/>
          </w:rPr>
          <w:t xml:space="preserve">substantive </w:t>
        </w:r>
      </w:ins>
      <w:ins w:id="26" w:author="dportz" w:date="2000-12-06T16:53:00Z">
        <w:r>
          <w:rPr>
            <w:rFonts w:cs="Arial" w:ascii="Arial" w:hAnsi="Arial"/>
            <w:sz w:val="18"/>
          </w:rPr>
          <w:t xml:space="preserve">amendment </w:t>
        </w:r>
      </w:ins>
      <w:r>
        <w:rPr>
          <w:rFonts w:cs="Arial" w:ascii="Arial" w:hAnsi="Arial"/>
          <w:sz w:val="18"/>
        </w:rPr>
        <w:t xml:space="preserve">of the ERCOT Protocols, the Parties agree to negotiate in good faith and amend this Confirmation, if necessary, to give effect to the original intentions of </w:t>
      </w:r>
      <w:ins w:id="27" w:author="dportz" w:date="2000-12-06T16:52:00Z">
        <w:r>
          <w:rPr>
            <w:rFonts w:cs="Arial" w:ascii="Arial" w:hAnsi="Arial"/>
            <w:sz w:val="18"/>
          </w:rPr>
          <w:t>and relative economic benefits</w:t>
        </w:r>
      </w:ins>
      <w:ins w:id="28" w:author="JDixon" w:date="2000-12-12T11:36:00Z">
        <w:r>
          <w:rPr>
            <w:rFonts w:cs="Arial" w:ascii="Arial" w:hAnsi="Arial"/>
            <w:sz w:val="18"/>
          </w:rPr>
          <w:t xml:space="preserve"> as originally contemplated</w:t>
        </w:r>
      </w:ins>
      <w:ins w:id="29" w:author="dportz" w:date="2000-12-06T16:52:00Z">
        <w:r>
          <w:rPr>
            <w:rFonts w:cs="Arial" w:ascii="Arial" w:hAnsi="Arial"/>
            <w:sz w:val="18"/>
          </w:rPr>
          <w:t xml:space="preserve"> to </w:t>
        </w:r>
      </w:ins>
      <w:r>
        <w:rPr>
          <w:rFonts w:cs="Arial" w:ascii="Arial" w:hAnsi="Arial"/>
          <w:sz w:val="18"/>
        </w:rPr>
        <w:t>the Parties under this Confirmation wherever possible and conform in all material respects to all applicable ERCOT Protocols.</w:t>
      </w:r>
    </w:p>
    <w:p>
      <w:pPr>
        <w:pStyle w:val="Normal"/>
        <w:keepNext w:val="true"/>
        <w:keepLines/>
        <w:jc w:val="both"/>
        <w:rPr>
          <w:rFonts w:ascii="Arial" w:hAnsi="Arial" w:cs="Arial"/>
          <w:sz w:val="18"/>
        </w:rPr>
      </w:pPr>
      <w:r>
        <w:rPr>
          <w:rFonts w:cs="Arial" w:ascii="Arial" w:hAnsi="Arial"/>
          <w:sz w:val="18"/>
        </w:rPr>
      </w:r>
    </w:p>
    <w:p>
      <w:pPr>
        <w:pStyle w:val="Normal"/>
        <w:keepNext w:val="true"/>
        <w:keepLines/>
        <w:jc w:val="both"/>
        <w:rPr>
          <w:rFonts w:ascii="Arial" w:hAnsi="Arial" w:cs="Arial"/>
          <w:sz w:val="18"/>
        </w:rPr>
      </w:pPr>
      <w:r>
        <w:rPr>
          <w:rFonts w:cs="Arial" w:ascii="Arial" w:hAnsi="Arial"/>
          <w:sz w:val="18"/>
        </w:rPr>
        <w:t>Please confirm that the terms stated herein accurately reflect the agreement reached on November 6, 2000 between you and EPMI by returning an executed copy of this letter by facsimile to EPMI at (713) 646-2491.  Your response should reflect the appropriate party in your organization who has the authority to enter into this transaction. If you have any questions please call (713) 853-1886.</w:t>
      </w:r>
    </w:p>
    <w:p>
      <w:pPr>
        <w:pStyle w:val="Normal"/>
        <w:keepNext w:val="true"/>
        <w:keepLines/>
        <w:rPr>
          <w:rFonts w:ascii="Arial" w:hAnsi="Arial" w:cs="Arial"/>
          <w:sz w:val="18"/>
        </w:rPr>
      </w:pPr>
      <w:r>
        <w:rPr>
          <w:rFonts w:cs="Arial" w:ascii="Arial" w:hAnsi="Arial"/>
          <w:sz w:val="18"/>
        </w:rPr>
      </w:r>
    </w:p>
    <w:tbl>
      <w:tblPr>
        <w:tblW w:w="9558" w:type="dxa"/>
        <w:jc w:val="start"/>
        <w:tblInd w:w="0" w:type="dxa"/>
        <w:tblLayout w:type="fixed"/>
        <w:tblCellMar>
          <w:top w:w="0" w:type="dxa"/>
          <w:start w:w="108" w:type="dxa"/>
          <w:bottom w:w="0" w:type="dxa"/>
          <w:end w:w="108" w:type="dxa"/>
        </w:tblCellMar>
      </w:tblPr>
      <w:tblGrid>
        <w:gridCol w:w="5058"/>
        <w:gridCol w:w="4500"/>
      </w:tblGrid>
      <w:tr>
        <w:trPr/>
        <w:tc>
          <w:tcPr>
            <w:tcW w:w="5058" w:type="dxa"/>
            <w:tcBorders/>
          </w:tcPr>
          <w:p>
            <w:pPr>
              <w:pStyle w:val="Normal"/>
              <w:keepNext w:val="true"/>
              <w:keepLines/>
              <w:rPr>
                <w:rFonts w:ascii="Arial" w:hAnsi="Arial" w:cs="Arial"/>
                <w:sz w:val="18"/>
              </w:rPr>
            </w:pPr>
            <w:r>
              <w:rPr>
                <w:rFonts w:cs="Arial" w:ascii="Arial" w:hAnsi="Arial"/>
                <w:sz w:val="18"/>
              </w:rPr>
              <w:t>Calpine Energy Services l..P.</w:t>
            </w:r>
          </w:p>
        </w:tc>
        <w:tc>
          <w:tcPr>
            <w:tcW w:w="4500" w:type="dxa"/>
            <w:tcBorders/>
          </w:tcPr>
          <w:p>
            <w:pPr>
              <w:pStyle w:val="Normal"/>
              <w:keepNext w:val="true"/>
              <w:keepLines/>
              <w:rPr>
                <w:rFonts w:ascii="Arial" w:hAnsi="Arial" w:cs="Arial"/>
                <w:sz w:val="18"/>
              </w:rPr>
            </w:pPr>
            <w:r>
              <w:rPr>
                <w:rFonts w:cs="Arial" w:ascii="Arial" w:hAnsi="Arial"/>
                <w:sz w:val="18"/>
              </w:rPr>
              <w:t>Enron Power Marketing, Inc.</w:t>
            </w:r>
          </w:p>
        </w:tc>
      </w:tr>
    </w:tbl>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By:           __________________________</w:t>
        <w:tab/>
        <w:tab/>
        <w:t xml:space="preserve">              By: ______________________</w:t>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Name:</w:t>
        <w:tab/>
        <w:t xml:space="preserve"> __________________________</w:t>
        <w:tab/>
        <w:tab/>
        <w:t xml:space="preserve">              Name: ___________________</w:t>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Title:        __________________________</w:t>
        <w:tab/>
        <w:tab/>
        <w:t xml:space="preserve">              Title: _____________________</w:t>
      </w:r>
    </w:p>
    <w:p>
      <w:pPr>
        <w:pStyle w:val="Normal"/>
        <w:rPr>
          <w:rFonts w:ascii="Arial" w:hAnsi="Arial" w:cs="Arial"/>
          <w:sz w:val="18"/>
        </w:rPr>
      </w:pPr>
      <w:r>
        <w:rPr>
          <w:rFonts w:cs="Arial" w:ascii="Arial" w:hAnsi="Arial"/>
          <w:sz w:val="18"/>
        </w:rPr>
        <w:tab/>
        <w:tab/>
        <w:tab/>
        <w:tab/>
        <w:tab/>
        <w:tab/>
        <w:tab/>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sectPr>
      <w:headerReference w:type="default" r:id="rId3"/>
      <w:footerReference w:type="default" r:id="rId4"/>
      <w:type w:val="nextPage"/>
      <w:pgSz w:w="11906" w:h="15840"/>
      <w:pgMar w:left="1152" w:right="1095"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8.4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left" w:pos="7110" w:leader="none"/>
        <w:tab w:val="left" w:pos="7290" w:leader="none"/>
      </w:tabs>
      <w:rPr/>
    </w:pPr>
    <w:r>
      <w:rPr>
        <w:b/>
      </w:rPr>
      <w:t>DRAFT-NOT AN OFFER.  FOR DISCUSSION PURPOSES ONLY</w:t>
    </w:r>
    <w:r>
      <w:rPr/>
      <w:tab/>
      <w:tab/>
    </w:r>
    <w:r>
      <w:rPr>
        <w:rFonts w:cs="Courier New" w:ascii="Courier New" w:hAnsi="Courier New"/>
        <w:sz w:val="20"/>
      </w:rPr>
      <w:t xml:space="preserve"> </w:t>
    </w:r>
  </w:p>
  <w:p>
    <w:pPr>
      <w:pStyle w:val="Header"/>
      <w:tabs>
        <w:tab w:val="clear" w:pos="8640"/>
        <w:tab w:val="center" w:pos="4320" w:leader="none"/>
        <w:tab w:val="left" w:pos="7110" w:leader="none"/>
        <w:tab w:val="left" w:pos="7290" w:leader="none"/>
      </w:tabs>
      <w:ind w:start="6750" w:end="0"/>
      <w:rPr>
        <w:rFonts w:ascii="Arial" w:hAnsi="Arial" w:cs="Arial"/>
        <w:sz w:val="20"/>
      </w:rPr>
    </w:pPr>
    <w:r>
      <w:rPr>
        <w:rFonts w:eastAsia="Courier New" w:cs="Courier New" w:ascii="Courier New" w:hAnsi="Courier New"/>
        <w:sz w:val="20"/>
      </w:rPr>
      <w:t xml:space="preserve">  </w:t>
    </w:r>
    <w:del w:id="30" w:author="dportz" w:date="2000-12-06T17:12:00Z">
      <w:r>
        <w:rPr>
          <w:rFonts w:cs="Arial" w:ascii="Arial" w:hAnsi="Arial"/>
          <w:sz w:val="20"/>
        </w:rPr>
        <w:fldChar w:fldCharType="begin"/>
      </w:r>
      <w:r>
        <w:rPr>
          <w:sz w:val="20"/>
          <w:rFonts w:cs="Arial" w:ascii="Arial" w:hAnsi="Arial"/>
        </w:rPr>
        <w:delInstrText xml:space="preserve"> AUTHOR </w:delInstrText>
      </w:r>
      <w:r>
        <w:rPr>
          <w:sz w:val="20"/>
          <w:rFonts w:cs="Arial" w:ascii="Arial" w:hAnsi="Arial"/>
        </w:rPr>
        <w:fldChar w:fldCharType="separate"/>
      </w:r>
      <w:r>
        <w:rPr>
          <w:sz w:val="20"/>
          <w:rFonts w:cs="Arial" w:ascii="Arial" w:hAnsi="Arial"/>
        </w:rPr>
        <w:delText>EOL#</w:delText>
      </w:r>
      <w:r>
        <w:rPr>
          <w:sz w:val="20"/>
          <w:rFonts w:cs="Arial" w:ascii="Arial" w:hAnsi="Arial"/>
        </w:rPr>
        <w:fldChar w:fldCharType="end"/>
      </w:r>
    </w:del>
  </w:p>
  <w:p>
    <w:pPr>
      <w:pStyle w:val="Header"/>
      <w:tabs>
        <w:tab w:val="clear" w:pos="8640"/>
        <w:tab w:val="center" w:pos="4320" w:leader="none"/>
        <w:tab w:val="left" w:pos="7110" w:leader="none"/>
        <w:tab w:val="left" w:pos="7290" w:leader="none"/>
      </w:tabs>
      <w:rPr>
        <w:rFonts w:ascii="Arial" w:hAnsi="Arial" w:cs="Arial"/>
        <w:sz w:val="20"/>
      </w:rPr>
    </w:pPr>
    <w:r>
      <w:rPr>
        <w:rFonts w:cs="Arial" w:ascii="Arial" w:hAnsi="Arial"/>
        <w:sz w:val="20"/>
      </w:rPr>
      <w:tab/>
      <w:t xml:space="preserve">                                                                                                               Deal No. </w:t>
    </w:r>
    <w:r>
      <w:rPr>
        <w:rFonts w:cs="Arial" w:ascii="Arial" w:hAnsi="Arial"/>
        <w:sz w:val="20"/>
      </w:rPr>
      <w:fldChar w:fldCharType="begin"/>
    </w:r>
    <w:r>
      <w:rPr>
        <w:sz w:val="20"/>
        <w:rFonts w:cs="Arial" w:ascii="Arial" w:hAnsi="Arial"/>
      </w:rPr>
      <w:instrText xml:space="preserve"> TITLE </w:instrText>
    </w:r>
    <w:r>
      <w:rPr>
        <w:sz w:val="20"/>
        <w:rFonts w:cs="Arial" w:ascii="Arial" w:hAnsi="Arial"/>
      </w:rPr>
      <w:fldChar w:fldCharType="separate"/>
    </w:r>
    <w:r>
      <w:rPr>
        <w:sz w:val="20"/>
        <w:rFonts w:cs="Arial" w:ascii="Arial" w:hAnsi="Arial"/>
      </w:rPr>
      <w:tab/>
    </w:r>
    <w:r>
      <w:rPr>
        <w:sz w:val="20"/>
        <w:rFonts w:cs="Arial" w:ascii="Arial" w:hAnsi="Arial"/>
      </w:rPr>
      <w:fldChar w:fldCharType="end"/>
    </w:r>
  </w:p>
  <w:p>
    <w:pPr>
      <w:pStyle w:val="Header"/>
      <w:tabs>
        <w:tab w:val="clear" w:pos="8640"/>
        <w:tab w:val="center" w:pos="4320" w:leader="none"/>
        <w:tab w:val="left" w:pos="7110" w:leader="none"/>
        <w:tab w:val="left" w:pos="7290" w:leader="none"/>
      </w:tabs>
      <w:rPr>
        <w:rFonts w:ascii="Arial" w:hAnsi="Arial" w:cs="Arial"/>
        <w:sz w:val="20"/>
      </w:rPr>
    </w:pPr>
    <w:r>
      <w:rPr>
        <w:rFonts w:cs="Arial" w:ascii="Arial" w:hAnsi="Arial"/>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sz w:val="18"/>
      <w:u w:val="single"/>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rFonts w:ascii="Courier New" w:hAnsi="Courier New" w:cs="Courier New"/>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sz w:val="18"/>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2000-12-12T15:09:00Z</dcterms:created>
  <dc:creator>EOL#</dc:creator>
  <dc:description/>
  <dc:language>en-CA</dc:language>
  <cp:lastModifiedBy>JDixon</cp:lastModifiedBy>
  <cp:lastPrinted>2000-12-07T12:11:00Z</cp:lastPrinted>
  <dcterms:modified xsi:type="dcterms:W3CDTF">2000-12-12T15:09:00Z</dcterms:modified>
  <cp:revision>2</cp:revision>
  <dc:subject/>
  <dc:title>	</dc:title>
</cp:coreProperties>
</file>