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widowControl/>
        <w:jc w:val="both"/>
        <w:rPr>
          <w:b/>
          <w:sz w:val="22"/>
        </w:rPr>
      </w:pPr>
      <w:r>
        <w:rPr>
          <w:b/>
          <w:sz w:val="22"/>
        </w:rPr>
      </w:r>
    </w:p>
    <w:p>
      <w:pPr>
        <w:pStyle w:val="Normal"/>
        <w:widowControl/>
        <w:jc w:val="both"/>
        <w:rPr>
          <w:b/>
          <w:sz w:val="22"/>
        </w:rPr>
      </w:pPr>
      <w:r>
        <w:rPr>
          <w:b/>
          <w:sz w:val="22"/>
        </w:rPr>
      </w:r>
    </w:p>
    <w:p>
      <w:pPr>
        <w:pStyle w:val="Normal"/>
        <w:widowControl/>
        <w:jc w:val="both"/>
        <w:rPr>
          <w:b/>
          <w:sz w:val="22"/>
        </w:rPr>
      </w:pPr>
      <w:r>
        <w:rPr>
          <w:b/>
          <w:sz w:val="22"/>
        </w:rPr>
      </w:r>
    </w:p>
    <w:p>
      <w:pPr>
        <w:pStyle w:val="Heading2"/>
        <w:widowControl/>
        <w:ind w:hanging="0" w:start="0"/>
        <w:jc w:val="both"/>
        <w:rPr>
          <w:b/>
          <w:sz w:val="22"/>
        </w:rPr>
      </w:pPr>
      <w:r>
        <w:rPr>
          <w:b/>
          <w:sz w:val="22"/>
        </w:rPr>
      </w:r>
    </w:p>
    <w:p>
      <w:pPr>
        <w:pStyle w:val="Heading2"/>
        <w:widowControl/>
        <w:ind w:hanging="0" w:start="0"/>
        <w:rPr>
          <w:sz w:val="22"/>
        </w:rPr>
      </w:pPr>
      <w:r>
        <w:rPr>
          <w:sz w:val="22"/>
        </w:rPr>
      </w:r>
    </w:p>
    <w:p>
      <w:pPr>
        <w:pStyle w:val="Heading2"/>
        <w:widowControl/>
        <w:ind w:hanging="0" w:start="0"/>
        <w:rPr/>
      </w:pPr>
      <w:del w:id="0" w:author="NSP" w:date="2001-04-02T15:45:00Z">
        <w:r>
          <w:rPr>
            <w:sz w:val="22"/>
          </w:rPr>
          <w:delText>March 30</w:delText>
        </w:r>
      </w:del>
      <w:ins w:id="1" w:author="NSP" w:date="2001-04-02T15:45:00Z">
        <w:r>
          <w:rPr>
            <w:sz w:val="22"/>
          </w:rPr>
          <w:t>April 2</w:t>
        </w:r>
      </w:ins>
      <w:r>
        <w:rPr>
          <w:sz w:val="22"/>
        </w:rPr>
        <w:t>, 2001</w:t>
      </w:r>
    </w:p>
    <w:p>
      <w:pPr>
        <w:pStyle w:val="Normal"/>
        <w:widowControl/>
        <w:rPr>
          <w:b/>
          <w:sz w:val="22"/>
        </w:rPr>
      </w:pPr>
      <w:r>
        <w:rPr>
          <w:b/>
          <w:sz w:val="22"/>
        </w:rPr>
      </w:r>
    </w:p>
    <w:p>
      <w:pPr>
        <w:pStyle w:val="Normal"/>
        <w:widowControl/>
        <w:rPr>
          <w:sz w:val="22"/>
        </w:rPr>
      </w:pPr>
      <w:r>
        <w:rPr>
          <w:sz w:val="22"/>
        </w:rPr>
        <w:t>Northern States Power Company</w:t>
      </w:r>
    </w:p>
    <w:p>
      <w:pPr>
        <w:pStyle w:val="Normal"/>
        <w:widowControl/>
        <w:rPr>
          <w:sz w:val="22"/>
        </w:rPr>
      </w:pPr>
      <w:r>
        <w:rPr>
          <w:sz w:val="22"/>
        </w:rPr>
        <w:t>414 Nicollet Mall, RSQ 5</w:t>
      </w:r>
    </w:p>
    <w:p>
      <w:pPr>
        <w:pStyle w:val="Normal"/>
        <w:widowControl/>
        <w:rPr>
          <w:sz w:val="22"/>
        </w:rPr>
      </w:pPr>
      <w:r>
        <w:rPr>
          <w:sz w:val="22"/>
        </w:rPr>
        <w:t>Minneapolis, MN  55401</w:t>
      </w:r>
    </w:p>
    <w:p>
      <w:pPr>
        <w:pStyle w:val="Normal"/>
        <w:widowControl/>
        <w:rPr>
          <w:sz w:val="22"/>
        </w:rPr>
      </w:pPr>
      <w:r>
        <w:rPr>
          <w:sz w:val="22"/>
        </w:rPr>
      </w:r>
    </w:p>
    <w:p>
      <w:pPr>
        <w:pStyle w:val="Heading2"/>
        <w:widowControl/>
        <w:ind w:hanging="0" w:start="0"/>
        <w:rPr>
          <w:sz w:val="22"/>
        </w:rPr>
      </w:pPr>
      <w:r>
        <w:rPr>
          <w:sz w:val="22"/>
        </w:rPr>
        <w:t>Attn:  Stephen Peluso</w:t>
      </w:r>
    </w:p>
    <w:p>
      <w:pPr>
        <w:pStyle w:val="Normal"/>
        <w:widowControl/>
        <w:rPr>
          <w:sz w:val="22"/>
        </w:rPr>
      </w:pPr>
      <w:r>
        <w:rPr>
          <w:sz w:val="22"/>
        </w:rPr>
      </w:r>
    </w:p>
    <w:p>
      <w:pPr>
        <w:pStyle w:val="Heading3"/>
        <w:widowControl/>
        <w:ind w:hanging="0" w:start="0"/>
        <w:jc w:val="center"/>
        <w:rPr>
          <w:sz w:val="22"/>
        </w:rPr>
      </w:pPr>
      <w:r>
        <w:rPr>
          <w:sz w:val="22"/>
        </w:rPr>
        <w:t xml:space="preserve">AMENDMENT No. 1 to CONFIRMATION LETTER </w:t>
      </w:r>
    </w:p>
    <w:p>
      <w:pPr>
        <w:pStyle w:val="Normal"/>
        <w:rPr>
          <w:sz w:val="22"/>
        </w:rPr>
      </w:pPr>
      <w:r>
        <w:rPr>
          <w:sz w:val="22"/>
        </w:rPr>
      </w:r>
    </w:p>
    <w:p>
      <w:pPr>
        <w:pStyle w:val="BodyText"/>
        <w:widowControl/>
        <w:tabs>
          <w:tab w:val="clear" w:pos="720"/>
          <w:tab w:val="clear" w:pos="1440"/>
        </w:tabs>
        <w:jc w:val="both"/>
        <w:rPr/>
      </w:pPr>
      <w:r>
        <w:rPr>
          <w:sz w:val="22"/>
        </w:rPr>
        <w:t xml:space="preserve">This Amendment No 1 (“Amendment No 1”) to Confirmation Letter ("Confirmation") shall confirm the agreement reached on </w:t>
      </w:r>
      <w:del w:id="2" w:author="NSP" w:date="2001-04-02T15:45:00Z">
        <w:r>
          <w:rPr>
            <w:sz w:val="22"/>
          </w:rPr>
          <w:delText>March 29</w:delText>
        </w:r>
      </w:del>
      <w:ins w:id="3" w:author="NSP" w:date="2001-04-02T15:45:00Z">
        <w:r>
          <w:rPr>
            <w:sz w:val="22"/>
          </w:rPr>
          <w:t>April 2</w:t>
        </w:r>
      </w:ins>
      <w:r>
        <w:rPr>
          <w:sz w:val="22"/>
        </w:rPr>
        <w:t>, 2001, between Northern States Power Company ("NSP") and Enron Power Marketing, Inc. ("EPMI", and EPMI and NSP may also hereafter be individually referenced as “Party” and collectively referenced as “Parties”), relating to certain amendments to that certain agreement identified as Confirmation Letter dated effective November 7, 2000 regarding the purchase and sale of Firm Energy (the "Transaction"):</w:t>
      </w:r>
    </w:p>
    <w:p>
      <w:pPr>
        <w:pStyle w:val="Normal"/>
        <w:widowControl/>
        <w:jc w:val="both"/>
        <w:rPr>
          <w:sz w:val="22"/>
        </w:rPr>
      </w:pPr>
      <w:r>
        <w:rPr>
          <w:sz w:val="22"/>
        </w:rPr>
      </w:r>
    </w:p>
    <w:p>
      <w:pPr>
        <w:pStyle w:val="Normal"/>
        <w:spacing w:before="0" w:after="120"/>
        <w:ind w:firstLine="720" w:end="0"/>
        <w:jc w:val="both"/>
        <w:rPr>
          <w:sz w:val="22"/>
        </w:rPr>
      </w:pPr>
      <w:r>
        <w:rPr>
          <w:sz w:val="22"/>
        </w:rPr>
        <w:t>In consideration of the premises and the agreements herein contained, the Parties agree as follows:</w:t>
      </w:r>
    </w:p>
    <w:p>
      <w:pPr>
        <w:pStyle w:val="Justified"/>
        <w:rPr/>
      </w:pPr>
      <w:r>
        <w:rPr/>
        <w:t>1.</w:t>
        <w:tab/>
        <w:t xml:space="preserve">All references in any writing related to the Confirmation shall be to the Confirmation as amended hereby.  </w:t>
      </w:r>
    </w:p>
    <w:p>
      <w:pPr>
        <w:pStyle w:val="Normal"/>
        <w:numPr>
          <w:ilvl w:val="0"/>
          <w:numId w:val="2"/>
        </w:numPr>
        <w:tabs>
          <w:tab w:val="clear" w:pos="720"/>
          <w:tab w:val="left" w:pos="0" w:leader="none"/>
        </w:tabs>
        <w:spacing w:before="0" w:after="120"/>
        <w:ind w:hanging="0" w:start="0" w:end="0"/>
        <w:jc w:val="both"/>
        <w:rPr>
          <w:sz w:val="22"/>
        </w:rPr>
      </w:pPr>
      <w:r>
        <w:rPr>
          <w:sz w:val="22"/>
        </w:rPr>
        <w:t>All capitalized terms used herein unless otherwise defined shall have the meanings given to them in the Confirmation.</w:t>
      </w:r>
    </w:p>
    <w:p>
      <w:pPr>
        <w:pStyle w:val="Normal"/>
        <w:numPr>
          <w:ilvl w:val="0"/>
          <w:numId w:val="2"/>
        </w:numPr>
        <w:tabs>
          <w:tab w:val="clear" w:pos="720"/>
          <w:tab w:val="left" w:pos="0" w:leader="none"/>
        </w:tabs>
        <w:spacing w:before="0" w:after="120"/>
        <w:ind w:hanging="0" w:start="0" w:end="0"/>
        <w:jc w:val="both"/>
        <w:rPr>
          <w:sz w:val="22"/>
        </w:rPr>
      </w:pPr>
      <w:r>
        <w:rPr>
          <w:sz w:val="22"/>
        </w:rPr>
        <w:t>The following provision replaces and restates in its entirety the section identified as “Commodity”:</w:t>
      </w:r>
    </w:p>
    <w:p>
      <w:pPr>
        <w:pStyle w:val="BodyTextIndent"/>
        <w:widowControl/>
        <w:tabs>
          <w:tab w:val="clear" w:pos="1440"/>
          <w:tab w:val="left" w:pos="2880" w:leader="none"/>
        </w:tabs>
        <w:ind w:start="2880" w:end="0"/>
        <w:jc w:val="both"/>
        <w:rPr>
          <w:sz w:val="22"/>
        </w:rPr>
      </w:pPr>
      <w:r>
        <w:rPr>
          <w:b/>
          <w:sz w:val="22"/>
        </w:rPr>
        <w:t>Commodity:</w:t>
      </w:r>
      <w:r>
        <w:rPr>
          <w:sz w:val="22"/>
        </w:rPr>
        <w:tab/>
        <w:t>Capacity and Firm Energy (“Energy”) – sold under Mid-Continent Area Power Pool (“MAPP”) Schedule K, System Participation Power Interchange Service, as modified in this Confirmation</w:t>
      </w:r>
      <w:r>
        <w:rPr>
          <w:b/>
          <w:sz w:val="22"/>
        </w:rPr>
        <w:t xml:space="preserve"> </w:t>
      </w:r>
    </w:p>
    <w:p>
      <w:pPr>
        <w:pStyle w:val="BodyTextIndent"/>
        <w:widowControl/>
        <w:jc w:val="both"/>
        <w:rPr>
          <w:sz w:val="22"/>
        </w:rPr>
      </w:pPr>
      <w:r>
        <w:rPr>
          <w:sz w:val="22"/>
        </w:rPr>
      </w:r>
    </w:p>
    <w:p>
      <w:pPr>
        <w:pStyle w:val="Normal"/>
        <w:numPr>
          <w:ilvl w:val="0"/>
          <w:numId w:val="2"/>
        </w:numPr>
        <w:tabs>
          <w:tab w:val="clear" w:pos="720"/>
          <w:tab w:val="left" w:pos="0" w:leader="none"/>
        </w:tabs>
        <w:spacing w:before="0" w:after="120"/>
        <w:ind w:hanging="0" w:start="0" w:end="0"/>
        <w:jc w:val="both"/>
        <w:rPr>
          <w:sz w:val="22"/>
        </w:rPr>
      </w:pPr>
      <w:r>
        <w:rPr>
          <w:sz w:val="22"/>
        </w:rPr>
        <w:t>The following provision replaces and restates in its entirety the section identified as “Capacity Source”:</w:t>
      </w:r>
    </w:p>
    <w:p>
      <w:pPr>
        <w:pStyle w:val="Normal"/>
        <w:widowControl/>
        <w:tabs>
          <w:tab w:val="clear" w:pos="720"/>
          <w:tab w:val="left" w:pos="2880" w:leader="none"/>
        </w:tabs>
        <w:spacing w:before="120" w:after="0"/>
        <w:ind w:hanging="2160" w:start="2880" w:end="0"/>
        <w:jc w:val="both"/>
        <w:rPr/>
      </w:pPr>
      <w:r>
        <w:rPr>
          <w:b/>
          <w:sz w:val="22"/>
        </w:rPr>
        <w:t>Capacity Source:</w:t>
      </w:r>
      <w:r>
        <w:rPr>
          <w:sz w:val="22"/>
        </w:rPr>
        <w:tab/>
        <w:t>50 MWs Minnesota Power System and 50 MWs Split Rock Energy Power System</w:t>
      </w:r>
    </w:p>
    <w:p>
      <w:pPr>
        <w:pStyle w:val="BodyTextIndent"/>
        <w:widowControl/>
        <w:jc w:val="both"/>
        <w:rPr>
          <w:sz w:val="22"/>
        </w:rPr>
      </w:pPr>
      <w:r>
        <w:rPr>
          <w:sz w:val="22"/>
        </w:rPr>
      </w:r>
    </w:p>
    <w:p>
      <w:pPr>
        <w:pStyle w:val="Normal"/>
        <w:numPr>
          <w:ilvl w:val="0"/>
          <w:numId w:val="2"/>
        </w:numPr>
        <w:tabs>
          <w:tab w:val="clear" w:pos="720"/>
          <w:tab w:val="left" w:pos="0" w:leader="none"/>
        </w:tabs>
        <w:spacing w:before="0" w:after="120"/>
        <w:ind w:hanging="0" w:start="0" w:end="0"/>
        <w:jc w:val="both"/>
        <w:rPr>
          <w:sz w:val="22"/>
        </w:rPr>
      </w:pPr>
      <w:r>
        <w:rPr>
          <w:sz w:val="22"/>
        </w:rPr>
        <w:t>The following provision replaces and restates in its entirety the section identified as “Delivery Point”:</w:t>
      </w:r>
    </w:p>
    <w:p>
      <w:pPr>
        <w:pStyle w:val="Normal"/>
        <w:spacing w:before="0" w:after="120"/>
        <w:jc w:val="both"/>
        <w:rPr>
          <w:sz w:val="22"/>
        </w:rPr>
      </w:pPr>
      <w:r>
        <w:rPr>
          <w:sz w:val="22"/>
        </w:rPr>
      </w:r>
    </w:p>
    <w:p>
      <w:pPr>
        <w:pStyle w:val="Normal"/>
        <w:widowControl/>
        <w:tabs>
          <w:tab w:val="left" w:pos="720" w:leader="none"/>
        </w:tabs>
        <w:ind w:hanging="2160" w:start="2160" w:end="0"/>
        <w:jc w:val="both"/>
        <w:rPr/>
      </w:pPr>
      <w:r>
        <w:rPr>
          <w:b/>
          <w:sz w:val="24"/>
        </w:rPr>
        <w:tab/>
      </w:r>
      <w:r>
        <w:rPr>
          <w:b/>
          <w:sz w:val="22"/>
        </w:rPr>
        <w:t>Delivery Point:</w:t>
      </w:r>
      <w:r>
        <w:rPr>
          <w:sz w:val="22"/>
        </w:rPr>
        <w:tab/>
        <w:tab/>
        <w:t xml:space="preserve">NSP Shercogen </w:t>
      </w:r>
    </w:p>
    <w:p>
      <w:pPr>
        <w:pStyle w:val="Normal"/>
        <w:spacing w:before="0" w:after="120"/>
        <w:jc w:val="both"/>
        <w:rPr>
          <w:sz w:val="22"/>
        </w:rPr>
      </w:pPr>
      <w:r>
        <w:rPr>
          <w:sz w:val="22"/>
        </w:rPr>
      </w:r>
    </w:p>
    <w:p>
      <w:pPr>
        <w:pStyle w:val="Normal"/>
        <w:numPr>
          <w:ilvl w:val="0"/>
          <w:numId w:val="2"/>
        </w:numPr>
        <w:spacing w:before="0" w:after="120"/>
        <w:jc w:val="both"/>
        <w:rPr>
          <w:sz w:val="22"/>
        </w:rPr>
      </w:pPr>
      <w:r>
        <w:rPr>
          <w:sz w:val="22"/>
        </w:rPr>
        <w:t>The last sentence is deleted from Section 2, “Firmness”, so that the entire section now reads as follows:</w:t>
      </w:r>
    </w:p>
    <w:p>
      <w:pPr>
        <w:pStyle w:val="Normal"/>
        <w:widowControl/>
        <w:tabs>
          <w:tab w:val="clear" w:pos="720"/>
          <w:tab w:val="left" w:pos="1440" w:leader="none"/>
        </w:tabs>
        <w:ind w:start="720" w:end="0"/>
        <w:jc w:val="both"/>
        <w:rPr/>
      </w:pPr>
      <w:r>
        <w:rPr>
          <w:sz w:val="22"/>
          <w:u w:val="single"/>
        </w:rPr>
        <w:t>Firmness</w:t>
      </w:r>
      <w:r>
        <w:rPr>
          <w:sz w:val="22"/>
        </w:rPr>
        <w:t>:</w:t>
      </w:r>
      <w:r>
        <w:rPr>
          <w:sz w:val="24"/>
        </w:rPr>
        <w:t xml:space="preserve"> </w:t>
      </w:r>
      <w:r>
        <w:rPr>
          <w:sz w:val="22"/>
        </w:rPr>
        <w:t>Energy scheduled with NSP is firm.  If NSP elects to purchase Energy hereunder, EPMI shall be obligated to deliver Energy to NSP at the Delivery Point except in the event that (i) EPMI's firm transmission from the scheduled Capacity Source to the Delivery Point is cut or otherwise curtailed by MAPP LLR or NERC TLR; or (ii) the scheduled Capacity Source is unavailable for any reason which would constitute Uncontrollable Forces as defined in the MAPP Restated Agreement dated January 12, 1996, in which case EPMI shall not be obligated to deliver Energy to NSP for the duration of such event(s). Notwithstanding the foregoing, EPMI has the right, but not the obligation, to provide Energy from sources other than the Capacity Source and to any non-designated NSP interface other than the Delivery Point, provided that EPMI shall notify NSP of potential delivery point(s) at least one hour prior to scheduling for daily scheduling and at least 30 minutes prior to the hour for hourly scheduling, and NSP will respond to EPMI in no later than 30 minutes for daily scheduling, and immediately for hourly scheduling, designating those delivery point(s) at which NSP would be unwilling to take delivery, (no interface shall be unreasonably eliminated by NSP, and any such interface not eliminated by NSP, an "Other Delivery Point") and provided, NSP must be able to accept the Energy at such Other Delivery Point as determined at the time of scheduling hereunder.  If EPMI is unable to deliver Energy to such Other Delivery Point, EPMI shall be obligated to provide Energy from the Capacity Source (subject to the provisions set forth in the second sentence above).  Subject to specific provisions of Section 4, Demand Charges shall be due regardless of delivery and receipt</w:t>
      </w:r>
      <w:r>
        <w:rPr>
          <w:sz w:val="24"/>
        </w:rPr>
        <w:t xml:space="preserve"> </w:t>
      </w:r>
      <w:r>
        <w:rPr>
          <w:sz w:val="22"/>
        </w:rPr>
        <w:t xml:space="preserve">of Energy, or the availability of Energy from the Capacity Source. </w:t>
      </w:r>
    </w:p>
    <w:p>
      <w:pPr>
        <w:pStyle w:val="Normal"/>
        <w:spacing w:before="0" w:after="120"/>
        <w:jc w:val="both"/>
        <w:rPr>
          <w:sz w:val="22"/>
        </w:rPr>
      </w:pPr>
      <w:r>
        <w:rPr>
          <w:sz w:val="22"/>
        </w:rPr>
      </w:r>
    </w:p>
    <w:p>
      <w:pPr>
        <w:pStyle w:val="Normal"/>
        <w:numPr>
          <w:ilvl w:val="0"/>
          <w:numId w:val="2"/>
        </w:numPr>
        <w:spacing w:before="0" w:after="120"/>
        <w:jc w:val="both"/>
        <w:rPr>
          <w:sz w:val="22"/>
        </w:rPr>
      </w:pPr>
      <w:r>
        <w:rPr>
          <w:sz w:val="22"/>
        </w:rPr>
        <w:t>Section 3, “Transmission and Losses” is amended to read as follows:</w:t>
      </w:r>
    </w:p>
    <w:p>
      <w:pPr>
        <w:pStyle w:val="Normal"/>
        <w:spacing w:before="0" w:after="120"/>
        <w:ind w:start="720" w:end="0"/>
        <w:jc w:val="both"/>
        <w:rPr/>
      </w:pPr>
      <w:r>
        <w:rPr>
          <w:sz w:val="22"/>
          <w:u w:val="single"/>
        </w:rPr>
        <w:t>Transmission and Losses</w:t>
      </w:r>
      <w:r>
        <w:rPr>
          <w:sz w:val="22"/>
        </w:rPr>
        <w:t>:  EPMI shall be responsible for any transmission charges and losses associated with transmitting Energy to the Delivery Point or the Other Delivery Points, as the case may be.  NSP shall be responsible for any transmission charges and losses associated with transmitting Energy at and from the Delivery Point, or the Other Delivery Point as the case may be.</w:t>
      </w:r>
    </w:p>
    <w:p>
      <w:pPr>
        <w:pStyle w:val="Normal"/>
        <w:numPr>
          <w:ilvl w:val="0"/>
          <w:numId w:val="2"/>
        </w:numPr>
        <w:tabs>
          <w:tab w:val="clear" w:pos="720"/>
          <w:tab w:val="left" w:pos="0" w:leader="none"/>
        </w:tabs>
        <w:spacing w:before="0" w:after="120"/>
        <w:ind w:hanging="0" w:start="0" w:end="0"/>
        <w:jc w:val="both"/>
        <w:rPr>
          <w:sz w:val="22"/>
        </w:rPr>
      </w:pPr>
      <w:r>
        <w:rPr>
          <w:sz w:val="22"/>
        </w:rPr>
        <w:t>Section 4, “Conditions Precedent” is amended to read as follows:</w:t>
      </w:r>
    </w:p>
    <w:p>
      <w:pPr>
        <w:pStyle w:val="Normal"/>
        <w:widowControl/>
        <w:tabs>
          <w:tab w:val="clear" w:pos="720"/>
          <w:tab w:val="left" w:pos="1440" w:leader="none"/>
        </w:tabs>
        <w:ind w:hanging="810" w:start="810" w:end="0"/>
        <w:jc w:val="both"/>
        <w:rPr>
          <w:sz w:val="22"/>
        </w:rPr>
      </w:pPr>
      <w:r>
        <w:rPr>
          <w:sz w:val="24"/>
        </w:rPr>
        <w:tab/>
      </w:r>
      <w:r>
        <w:rPr>
          <w:sz w:val="22"/>
          <w:u w:val="single"/>
        </w:rPr>
        <w:t>Conditions Precedent</w:t>
      </w:r>
      <w:r>
        <w:rPr>
          <w:sz w:val="22"/>
        </w:rPr>
        <w:t xml:space="preserve">:  This Transaction is contingent (i) upon EPMI securing firm transmission from the Capacity Source to </w:t>
      </w:r>
      <w:ins w:id="4" w:author="NSP" w:date="2001-04-02T15:39:00Z">
        <w:r>
          <w:rPr>
            <w:sz w:val="22"/>
          </w:rPr>
          <w:t>the Delivery Point</w:t>
        </w:r>
      </w:ins>
      <w:del w:id="5" w:author="NSP" w:date="2001-04-02T15:39:00Z">
        <w:r>
          <w:rPr>
            <w:sz w:val="22"/>
          </w:rPr>
          <w:delText>Shercogen</w:delText>
        </w:r>
      </w:del>
      <w:r>
        <w:rPr>
          <w:sz w:val="22"/>
        </w:rPr>
        <w:t xml:space="preserve"> and (ii) upon the Capacity purchased and sold hereunder being approved as Accredited Capacity in accordance with MAPP procedures governing the accreditation of capacity and reserves (together, the "Conditions Precedent").   Each Party agrees to use commercially reasonable efforts to cause the Conditions Precedent to be satisfied.  </w:t>
      </w:r>
      <w:ins w:id="6" w:author="NSP" w:date="2001-04-02T15:40:00Z">
        <w:r>
          <w:rPr>
            <w:sz w:val="22"/>
          </w:rPr>
          <w:t xml:space="preserve">If for any reason any of the Conditions Precedent are not satisfied before April 25, 2001, then this Confirmation, in its entirety shall automatically terminate as to the Parties commitments hereunder without liability of either Party.  Each Party shall use commercially reasonable efforts to cause the Conditions Precedent to be satisfied.  </w:t>
        </w:r>
      </w:ins>
    </w:p>
    <w:p>
      <w:pPr>
        <w:pStyle w:val="Normal"/>
        <w:spacing w:before="0" w:after="120"/>
        <w:jc w:val="both"/>
        <w:rPr>
          <w:sz w:val="22"/>
        </w:rPr>
      </w:pPr>
      <w:r>
        <w:rPr>
          <w:sz w:val="22"/>
        </w:rPr>
      </w:r>
    </w:p>
    <w:p>
      <w:pPr>
        <w:pStyle w:val="Normal"/>
        <w:numPr>
          <w:ilvl w:val="0"/>
          <w:numId w:val="2"/>
        </w:numPr>
        <w:tabs>
          <w:tab w:val="clear" w:pos="720"/>
        </w:tabs>
        <w:spacing w:before="0" w:after="120"/>
        <w:ind w:hanging="0" w:start="0" w:end="0"/>
        <w:jc w:val="both"/>
        <w:rPr>
          <w:sz w:val="22"/>
        </w:rPr>
      </w:pPr>
      <w:r>
        <w:rPr>
          <w:sz w:val="22"/>
        </w:rPr>
        <w:t>Conforming to the amendment to the section labeled “Commodity” stated in Section 3 above, the following provision replaces and restates in its entirety Section 10, “Governing Terms”:</w:t>
      </w:r>
    </w:p>
    <w:p>
      <w:pPr>
        <w:pStyle w:val="BodyText"/>
        <w:widowControl/>
        <w:ind w:hanging="720" w:start="720" w:end="0"/>
        <w:jc w:val="both"/>
        <w:rPr/>
      </w:pPr>
      <w:r>
        <w:rPr/>
        <w:tab/>
      </w:r>
      <w:r>
        <w:rPr>
          <w:sz w:val="22"/>
          <w:u w:val="single"/>
        </w:rPr>
        <w:t>Governing Terms</w:t>
      </w:r>
      <w:r>
        <w:rPr>
          <w:sz w:val="22"/>
        </w:rPr>
        <w:t>:  This Confirmation is being provided pursuant to and in accordance with the MAPP Restated Agreement dated January 12, 1996 (the "Enabling Agreement") executed by EPMI and NSP, together with MAPP Service Schedule K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K, the provisions of this Confirmation shall control.</w:t>
      </w:r>
    </w:p>
    <w:p>
      <w:pPr>
        <w:pStyle w:val="BodyText"/>
        <w:widowControl/>
        <w:jc w:val="both"/>
        <w:rPr>
          <w:sz w:val="22"/>
        </w:rPr>
      </w:pPr>
      <w:r>
        <w:rPr>
          <w:sz w:val="22"/>
        </w:rPr>
      </w:r>
    </w:p>
    <w:p>
      <w:pPr>
        <w:pStyle w:val="Justified"/>
        <w:rPr/>
      </w:pPr>
      <w:r>
        <w:rPr/>
        <w:t>10.</w:t>
        <w:tab/>
        <w:t>The Parties hereby acknowledge and agree that, except as specifically amended hereby, the Confirmation shall remain in full force and effect in accordance with its terms.</w:t>
      </w:r>
    </w:p>
    <w:p>
      <w:pPr>
        <w:pStyle w:val="Justified"/>
        <w:rPr/>
      </w:pPr>
      <w:r>
        <w:rPr/>
        <w:t>11.</w:t>
        <w:tab/>
        <w:t>This Amendment No. 1 may be executed in counterparts, each of which taken together shall constitute one and the same instrument.</w:t>
      </w:r>
    </w:p>
    <w:p>
      <w:pPr>
        <w:pStyle w:val="BodyText"/>
        <w:widowControl/>
        <w:jc w:val="both"/>
        <w:rPr>
          <w:sz w:val="22"/>
        </w:rPr>
      </w:pPr>
      <w:r>
        <w:rPr>
          <w:sz w:val="22"/>
        </w:rPr>
        <w:t xml:space="preserve">Please confirm that the terms stated herein accurately reflect the agreement between NSP and EPMI effective as of the date first stated above, by returning an executed copy of this Amendment No. 1 to EPMI. </w:t>
      </w:r>
    </w:p>
    <w:p>
      <w:pPr>
        <w:pStyle w:val="Normal"/>
        <w:keepNext w:val="true"/>
        <w:keepLines/>
        <w:widowControl/>
        <w:tabs>
          <w:tab w:val="left" w:pos="720" w:leader="none"/>
          <w:tab w:val="left" w:pos="1440" w:leader="none"/>
        </w:tabs>
        <w:rPr>
          <w:sz w:val="22"/>
        </w:rPr>
      </w:pPr>
      <w:r>
        <w:rPr>
          <w:sz w:val="22"/>
        </w:rPr>
      </w:r>
    </w:p>
    <w:p>
      <w:pPr>
        <w:pStyle w:val="Normal"/>
        <w:keepNext w:val="true"/>
        <w:keepLines/>
        <w:widowControl/>
        <w:tabs>
          <w:tab w:val="left" w:pos="720" w:leader="none"/>
          <w:tab w:val="left" w:pos="1440" w:leader="none"/>
        </w:tabs>
        <w:rPr>
          <w:sz w:val="22"/>
        </w:rPr>
      </w:pPr>
      <w:r>
        <w:rPr>
          <w:sz w:val="22"/>
        </w:rPr>
        <w:t xml:space="preserve"> </w:t>
      </w:r>
    </w:p>
    <w:p>
      <w:pPr>
        <w:pStyle w:val="Normal"/>
        <w:keepNext w:val="true"/>
        <w:keepLines/>
        <w:widowControl/>
        <w:tabs>
          <w:tab w:val="left" w:pos="720" w:leader="none"/>
          <w:tab w:val="left" w:pos="1440" w:leader="none"/>
        </w:tabs>
        <w:rPr>
          <w:b/>
          <w:sz w:val="22"/>
        </w:rPr>
      </w:pPr>
      <w:r>
        <w:rPr>
          <w:b/>
          <w:sz w:val="22"/>
        </w:rPr>
        <w:t>Northern States Power Company</w:t>
        <w:tab/>
        <w:tab/>
        <w:tab/>
        <w:t>Enron Power Marketing, Inc.</w:t>
      </w:r>
    </w:p>
    <w:p>
      <w:pPr>
        <w:pStyle w:val="Normal"/>
        <w:widowControl/>
        <w:tabs>
          <w:tab w:val="left" w:pos="720" w:leader="none"/>
          <w:tab w:val="left" w:pos="1440" w:leader="none"/>
        </w:tabs>
        <w:rPr>
          <w:b/>
          <w:sz w:val="22"/>
        </w:rPr>
      </w:pPr>
      <w:r>
        <w:rPr>
          <w:b/>
          <w:sz w:val="22"/>
        </w:rPr>
      </w:r>
    </w:p>
    <w:p>
      <w:pPr>
        <w:pStyle w:val="Heading2"/>
        <w:widowControl/>
        <w:tabs>
          <w:tab w:val="left" w:pos="720" w:leader="none"/>
          <w:tab w:val="left" w:pos="1440" w:leader="none"/>
        </w:tabs>
        <w:ind w:hanging="0" w:start="0"/>
        <w:rPr>
          <w:sz w:val="22"/>
        </w:rPr>
      </w:pPr>
      <w:r>
        <w:rPr>
          <w:sz w:val="22"/>
        </w:rPr>
        <w:t>By:  _______________________________</w:t>
        <w:tab/>
        <w:tab/>
        <w:t>By:  ____________________________</w:t>
      </w:r>
    </w:p>
    <w:p>
      <w:pPr>
        <w:pStyle w:val="Normal"/>
        <w:widowControl/>
        <w:tabs>
          <w:tab w:val="left" w:pos="720" w:leader="none"/>
          <w:tab w:val="left" w:pos="1440" w:leader="none"/>
        </w:tabs>
        <w:rPr>
          <w:sz w:val="22"/>
        </w:rPr>
      </w:pPr>
      <w:r>
        <w:rPr>
          <w:sz w:val="22"/>
        </w:rPr>
      </w:r>
    </w:p>
    <w:p>
      <w:pPr>
        <w:pStyle w:val="Normal"/>
        <w:widowControl/>
        <w:tabs>
          <w:tab w:val="left" w:pos="720" w:leader="none"/>
          <w:tab w:val="left" w:pos="1440" w:leader="none"/>
        </w:tabs>
        <w:rPr>
          <w:sz w:val="22"/>
        </w:rPr>
      </w:pPr>
      <w:r>
        <w:rPr>
          <w:sz w:val="22"/>
        </w:rPr>
        <w:t>Printed Name:  ______________________</w:t>
        <w:tab/>
        <w:tab/>
        <w:t>Printed Name: ____________________</w:t>
      </w:r>
    </w:p>
    <w:p>
      <w:pPr>
        <w:pStyle w:val="Normal"/>
        <w:widowControl/>
        <w:tabs>
          <w:tab w:val="left" w:pos="720" w:leader="none"/>
          <w:tab w:val="left" w:pos="1440" w:leader="none"/>
        </w:tabs>
        <w:rPr>
          <w:sz w:val="22"/>
        </w:rPr>
      </w:pPr>
      <w:r>
        <w:rPr>
          <w:sz w:val="22"/>
        </w:rPr>
      </w:r>
    </w:p>
    <w:p>
      <w:pPr>
        <w:pStyle w:val="Normal"/>
        <w:widowControl/>
        <w:tabs>
          <w:tab w:val="left" w:pos="720" w:leader="none"/>
          <w:tab w:val="left" w:pos="1440" w:leader="none"/>
        </w:tabs>
        <w:rPr>
          <w:sz w:val="22"/>
        </w:rPr>
      </w:pPr>
      <w:r>
        <w:rPr>
          <w:sz w:val="22"/>
        </w:rPr>
        <w:t>Title:  ______________________________</w:t>
        <w:tab/>
        <w:tab/>
        <w:t>Title:  ___________________________</w:t>
      </w:r>
    </w:p>
    <w:p>
      <w:pPr>
        <w:pStyle w:val="Normal"/>
        <w:widowControl/>
        <w:tabs>
          <w:tab w:val="left" w:pos="720" w:leader="none"/>
          <w:tab w:val="left" w:pos="1440" w:leader="none"/>
        </w:tabs>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Norma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widowControl/>
      <w:numPr>
        <w:ilvl w:val="3"/>
        <w:numId w:val="1"/>
      </w:numPr>
      <w:tabs>
        <w:tab w:val="left" w:pos="720" w:leader="none"/>
        <w:tab w:val="left" w:pos="1440" w:leader="none"/>
      </w:tabs>
      <w:ind w:hanging="0" w:start="2160" w:end="0"/>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u w:val="singl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clear" w:pos="720"/>
        <w:tab w:val="left" w:pos="1440" w:leader="none"/>
      </w:tabs>
      <w:ind w:hanging="2160" w:start="216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2001-04-02T18:21:00Z</dcterms:created>
  <dc:creator>ECT</dc:creator>
  <dc:description/>
  <dc:language>en-CA</dc:language>
  <cp:lastModifiedBy>NSP</cp:lastModifiedBy>
  <cp:lastPrinted>2001-04-02T15:05:00Z</cp:lastPrinted>
  <dcterms:modified xsi:type="dcterms:W3CDTF">2001-04-02T18:21:00Z</dcterms:modified>
  <cp:revision>2</cp:revision>
  <dc:subject/>
  <dc:title>Internal draft dated 1-25-99; Please see my bracketed questions</dc:title>
</cp:coreProperties>
</file>