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2"/>
        <w:ind w:hanging="0" w:start="0"/>
        <w:rPr>
          <w:highlight w:val="yellow"/>
        </w:rPr>
      </w:pPr>
      <w:r>
        <w:rPr>
          <w:highlight w:val="green"/>
        </w:rPr>
        <w:t>Enron: checking on green highlight</w:t>
      </w:r>
    </w:p>
    <w:p>
      <w:pPr>
        <w:pStyle w:val="Normal"/>
        <w:tabs>
          <w:tab w:val="clear" w:pos="720"/>
          <w:tab w:val="center" w:pos="4680" w:leader="none"/>
        </w:tabs>
        <w:suppressAutoHyphens w:val="true"/>
        <w:jc w:val="both"/>
        <w:rPr>
          <w:rFonts w:ascii="Arial" w:hAnsi="Arial" w:cs="Arial"/>
          <w:b/>
        </w:rPr>
      </w:pPr>
      <w:r>
        <w:rPr>
          <w:rFonts w:cs="Arial" w:ascii="Arial" w:hAnsi="Arial"/>
          <w:b/>
          <w:highlight w:val="cyan"/>
        </w:rPr>
        <w:t>AHC: checking on blue highlight</w:t>
      </w:r>
    </w:p>
    <w:p>
      <w:pPr>
        <w:pStyle w:val="Heading"/>
        <w:jc w:val="start"/>
        <w:rPr>
          <w:rFonts w:ascii="Arial" w:hAnsi="Arial" w:cs="Arial"/>
          <w:b w:val="false"/>
        </w:rPr>
      </w:pPr>
      <w:r>
        <w:rPr>
          <w:rFonts w:cs="Arial" w:ascii="Arial" w:hAnsi="Arial"/>
          <w:b w:val="false"/>
        </w:rPr>
      </w:r>
    </w:p>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sz w:val="24"/>
        </w:rPr>
      </w:pPr>
      <w:r>
        <w:rPr>
          <w:sz w:val="24"/>
        </w:rPr>
        <w:t>dated as of November 6, 2001</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t>AMERADA HESS CORPORATION (“Party A”)</w:t>
      </w:r>
    </w:p>
    <w:p>
      <w:pPr>
        <w:pStyle w:val="Heading3"/>
        <w:ind w:hanging="0" w:start="0"/>
        <w:rPr/>
      </w:pPr>
      <w:r>
        <w:rPr/>
        <w:t>And</w:t>
      </w:r>
    </w:p>
    <w:p>
      <w:pPr>
        <w:pStyle w:val="Normal"/>
        <w:jc w:val="center"/>
        <w:rPr>
          <w:sz w:val="24"/>
        </w:rPr>
      </w:pPr>
      <w:r>
        <w:rPr>
          <w:sz w:val="24"/>
        </w:rPr>
        <w:t>ENRON NORTH AMERICA CORP. (“Party B”)</w:t>
      </w:r>
    </w:p>
    <w:p>
      <w:pPr>
        <w:pStyle w:val="Normal"/>
        <w:jc w:val="both"/>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with respect to Party A,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   </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transferring entity (which entity is the successor-in-interest to such party is directly or indirectly owed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second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fifteenth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pPr>
      <w:r>
        <w:rPr>
          <w:sz w:val="24"/>
        </w:rPr>
        <w:t xml:space="preserve"> </w:t>
      </w:r>
      <w:r>
        <w:rPr>
          <w:sz w:val="24"/>
        </w:rPr>
        <w:t>(i)</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Contractual Currency.</w:t>
      </w:r>
      <w:r>
        <w:rPr>
          <w:sz w:val="24"/>
        </w:rPr>
        <w:t xml:space="preserve"> “Contractual Currency” unless otherwise specified in a Confirmation, shall mean U.S. Dollars.</w:t>
      </w:r>
    </w:p>
    <w:p>
      <w:pPr>
        <w:pStyle w:val="Normal"/>
        <w:tabs>
          <w:tab w:val="clear" w:pos="720"/>
          <w:tab w:val="left" w:pos="-1440" w:leader="none"/>
          <w:tab w:val="left" w:pos="-720" w:leader="none"/>
          <w:tab w:val="left" w:pos="0" w:leader="none"/>
        </w:tabs>
        <w:suppressAutoHyphens w:val="true"/>
        <w:spacing w:before="240" w:after="0"/>
        <w:ind w:hanging="708" w:start="708" w:end="0"/>
        <w:jc w:val="both"/>
        <w:rPr>
          <w:sz w:val="22"/>
          <w:lang w:val="en-GB"/>
        </w:rPr>
      </w:pPr>
      <w:r>
        <w:rPr>
          <w:sz w:val="24"/>
        </w:rPr>
        <w:t>(k)</w:t>
        <w:tab/>
      </w:r>
      <w:r>
        <w:rPr>
          <w:b/>
          <w:sz w:val="24"/>
        </w:rPr>
        <w:t xml:space="preserve">Additional Termination Event. </w:t>
      </w:r>
      <w:r>
        <w:rPr>
          <w:sz w:val="24"/>
        </w:rPr>
        <w:t>The following event shall constitute an Additional Termination Event pursuant to Section 5(b)(v) with respect to Party A and Party B:</w:t>
      </w:r>
    </w:p>
    <w:p>
      <w:pPr>
        <w:pStyle w:val="Normal"/>
        <w:tabs>
          <w:tab w:val="clear" w:pos="720"/>
          <w:tab w:val="left" w:pos="1440" w:leader="none"/>
        </w:tabs>
        <w:spacing w:lineRule="atLeast" w:line="240" w:before="240" w:after="0"/>
        <w:ind w:hanging="720" w:start="1440" w:end="0"/>
        <w:jc w:val="both"/>
        <w:rPr/>
      </w:pPr>
      <w:r>
        <w:rPr>
          <w:sz w:val="22"/>
          <w:szCs w:val="22"/>
        </w:rPr>
        <w:tab/>
      </w:r>
      <w:r>
        <w:rPr>
          <w:sz w:val="24"/>
          <w:szCs w:val="22"/>
        </w:rPr>
        <w:t xml:space="preserve">The occurrence of a Material Adverse Change (as hereinafter defined) with respect to Party A or Party B.  "Material Adverse Change" means, (a) with respect to Party A, its Credit Rating is rated below "BBB-" by Standard &amp; Poor’s Rating Group (a division of McGraw-Hill, Inc.) or its successor (“S&amp;P”) or it has no Credit Rating from S&amp;P; or (b) with respect to Party B, its Credit Support Provider’s Credit Rating is rated below “BBB-“ by S&amp;P or its Credit Support Provider has no Credit Rating from S&amp;P; </w:t>
      </w:r>
      <w:r>
        <w:rPr>
          <w:sz w:val="24"/>
          <w:szCs w:val="22"/>
          <w:u w:val="single"/>
        </w:rPr>
        <w:t>provided</w:t>
      </w:r>
      <w:r>
        <w:rPr>
          <w:sz w:val="24"/>
          <w:szCs w:val="22"/>
        </w:rPr>
        <w:t xml:space="preserve">, </w:t>
      </w:r>
      <w:r>
        <w:rPr>
          <w:sz w:val="24"/>
          <w:szCs w:val="22"/>
          <w:u w:val="single"/>
        </w:rPr>
        <w:t>however</w:t>
      </w:r>
      <w:r>
        <w:rPr>
          <w:sz w:val="24"/>
          <w:szCs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Eligible Credit Support</w:t>
      </w:r>
      <w:r>
        <w:rPr>
          <w:color w:val="FF0000"/>
          <w:sz w:val="24"/>
          <w:szCs w:val="22"/>
        </w:rPr>
        <w:t xml:space="preserve"> </w:t>
      </w:r>
      <w:r>
        <w:rPr>
          <w:sz w:val="24"/>
          <w:szCs w:val="22"/>
        </w:rPr>
        <w:t xml:space="preserve">in an amount satisfactory to Z in its sole discretion. </w:t>
      </w:r>
      <w:r>
        <w:rPr>
          <w:rStyle w:val="FootnoteCharacters"/>
          <w:sz w:val="24"/>
        </w:rPr>
        <w:t xml:space="preserve"> </w:t>
      </w:r>
      <w:r>
        <w:rPr>
          <w:sz w:val="24"/>
          <w:szCs w:val="22"/>
        </w:rPr>
        <w:t>If such Eligible Credit Support is provided, it shall be in addition to Eligible Credit Support required under the ISDA Credit Support Annex attached hereto as Annex A, but it shall be otherwise administered under Annex A.  “Credit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jc w:val="both"/>
        <w:rPr>
          <w:sz w:val="24"/>
          <w:szCs w:val="22"/>
        </w:rPr>
      </w:pPr>
      <w:r>
        <w:rPr>
          <w:sz w:val="24"/>
          <w:szCs w:val="22"/>
        </w:rPr>
      </w:r>
    </w:p>
    <w:p>
      <w:pPr>
        <w:pStyle w:val="Normal"/>
        <w:ind w:hanging="720" w:start="720" w:end="0"/>
        <w:jc w:val="both"/>
        <w:rPr>
          <w:sz w:val="24"/>
        </w:rPr>
      </w:pPr>
      <w:r>
        <w:rPr>
          <w:sz w:val="24"/>
        </w:rPr>
        <w:t>Part 2.</w:t>
        <w:tab/>
      </w:r>
      <w:r>
        <w:rPr>
          <w:b/>
          <w:sz w:val="24"/>
        </w:rPr>
        <w:t>Tax Representations.</w:t>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76-0318139.</w:t>
      </w:r>
    </w:p>
    <w:p>
      <w:pPr>
        <w:pStyle w:val="Normal"/>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Each party (the “Delivering Party”) agrees to complete (accurately and in a manner reasonably satisfactory to the other), execute, and deliver to the other party a United States Internal Revenue Service Form W-9, or any successor form, (i) on a date which is before the first Scheduled Payment Date under this Agreement (the “Form W-9 Submission Date”),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Duly executed Credit Support Document (as specified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 Party B</w:t>
            </w:r>
          </w:p>
        </w:tc>
        <w:tc>
          <w:tcPr>
            <w:tcW w:w="3150" w:type="dxa"/>
            <w:tcBorders/>
          </w:tcPr>
          <w:p>
            <w:pPr>
              <w:pStyle w:val="Normal"/>
              <w:rPr>
                <w:sz w:val="24"/>
              </w:rPr>
            </w:pPr>
            <w:r>
              <w:rPr>
                <w:sz w:val="24"/>
              </w:rPr>
              <w:t>Annual Report of  Party A’s Credit Support Provider and Party B’s Credit Support Provider containing audited consolidated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 but in event later than 120 days after the end of each fiscal year of Party A’s Credit Support Provider and Party B’s</w:t>
            </w:r>
          </w:p>
          <w:p>
            <w:pPr>
              <w:pStyle w:val="Normal"/>
              <w:rPr/>
            </w:pPr>
            <w:r>
              <w:rPr>
                <w:sz w:val="24"/>
              </w:rPr>
              <w:t xml:space="preserve">Credit Support Provider, if such financial statement is not available on “EDGAR” or said party’s home page on the World Wide Web (The address of Party A’s Credit Support Provider is </w:t>
            </w:r>
            <w:hyperlink r:id="rId2">
              <w:r>
                <w:rPr>
                  <w:rStyle w:val="Hyperlink"/>
                </w:rPr>
                <w:t>www.hess.com</w:t>
              </w:r>
            </w:hyperlink>
            <w:r>
              <w:rPr>
                <w:sz w:val="24"/>
              </w:rPr>
              <w:t xml:space="preserve">.  The address of Party B’s Credit Support Provider is www.enron.com)  </w:t>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authority to enter into master agreements such as this Agreement and transactions including Transactions contemplated hereby including a list of authorized signatories, including specimen signatures of each such signatory</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 Party B</w:t>
            </w:r>
          </w:p>
          <w:p>
            <w:pPr>
              <w:pStyle w:val="Normal"/>
              <w:rPr>
                <w:sz w:val="24"/>
              </w:rPr>
            </w:pPr>
            <w:r>
              <w:rPr>
                <w:sz w:val="24"/>
              </w:rPr>
            </w:r>
          </w:p>
        </w:tc>
        <w:tc>
          <w:tcPr>
            <w:tcW w:w="3150" w:type="dxa"/>
            <w:tcBorders/>
          </w:tcPr>
          <w:p>
            <w:pPr>
              <w:pStyle w:val="Normal"/>
              <w:rPr>
                <w:sz w:val="24"/>
              </w:rPr>
            </w:pPr>
            <w:r>
              <w:rPr>
                <w:sz w:val="22"/>
              </w:rPr>
              <w:t>Quarterly unaudited consolidated financial statements of Party A’s Credit Support Provider and Party B’s Credit Support Provider</w:t>
            </w:r>
          </w:p>
        </w:tc>
        <w:tc>
          <w:tcPr>
            <w:tcW w:w="2772" w:type="dxa"/>
            <w:tcBorders/>
          </w:tcPr>
          <w:p>
            <w:pPr>
              <w:pStyle w:val="Normal"/>
              <w:rPr>
                <w:sz w:val="24"/>
              </w:rPr>
            </w:pPr>
            <w:r>
              <w:rPr>
                <w:sz w:val="24"/>
              </w:rPr>
              <w:t>Upon request, but in event later than 60 days after the end of each of each of the first three fiscal quarters of each fiscal year of Party A’s Credit Support Provider and Party B’s</w:t>
            </w:r>
          </w:p>
          <w:p>
            <w:pPr>
              <w:pStyle w:val="Normal"/>
              <w:rPr/>
            </w:pPr>
            <w:r>
              <w:rPr>
                <w:sz w:val="24"/>
              </w:rPr>
              <w:t xml:space="preserve">Credit Support Provider, respectively, if such financial statement is not available on “EDGAR” or said party’s home page on the World Wide Web (The address of Party A’s Credit Support Provider is </w:t>
            </w:r>
            <w:hyperlink r:id="rId3">
              <w:r>
                <w:rPr>
                  <w:rStyle w:val="Hyperlink"/>
                </w:rPr>
                <w:t>www.hess.com</w:t>
              </w:r>
            </w:hyperlink>
            <w:r>
              <w:rPr>
                <w:sz w:val="24"/>
              </w:rPr>
              <w:t>.  The address of Party B’s Credit Support Provider is www.enron.com)</w:t>
            </w:r>
          </w:p>
          <w:p>
            <w:pPr>
              <w:pStyle w:val="Normal"/>
              <w:rPr>
                <w:sz w:val="24"/>
              </w:rPr>
            </w:pPr>
            <w:r>
              <w:rPr>
                <w:sz w:val="24"/>
              </w:rPr>
            </w:r>
          </w:p>
        </w:tc>
        <w:tc>
          <w:tcPr>
            <w:tcW w:w="2268" w:type="dxa"/>
            <w:tcBorders/>
          </w:tcPr>
          <w:p>
            <w:pPr>
              <w:pStyle w:val="Normal"/>
              <w:rPr>
                <w:sz w:val="24"/>
              </w:rPr>
            </w:pPr>
            <w:r>
              <w:rPr>
                <w:sz w:val="24"/>
              </w:rPr>
              <w:t>Yes</w:t>
            </w:r>
          </w:p>
        </w:tc>
      </w:tr>
    </w:tbl>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A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A under this Agreement.   </w:t>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b/>
        <w:t>Address for notices or communications to Party B:</w:t>
      </w:r>
    </w:p>
    <w:p>
      <w:pPr>
        <w:pStyle w:val="Normal"/>
        <w:ind w:hanging="720" w:start="720" w:end="0"/>
        <w:jc w:val="both"/>
        <w:rPr>
          <w:sz w:val="24"/>
        </w:rPr>
      </w:pPr>
      <w:r>
        <w:rPr>
          <w:sz w:val="24"/>
        </w:rPr>
      </w:r>
    </w:p>
    <w:p>
      <w:pPr>
        <w:pStyle w:val="Normal"/>
        <w:ind w:hanging="720" w:start="720" w:end="0"/>
        <w:jc w:val="both"/>
        <w:rPr>
          <w:sz w:val="24"/>
        </w:rPr>
      </w:pPr>
      <w:r>
        <w:rPr>
          <w:sz w:val="24"/>
        </w:rPr>
        <w:tab/>
        <w:t>Address: Enron North America Corp.</w:t>
      </w:r>
    </w:p>
    <w:p>
      <w:pPr>
        <w:pStyle w:val="Normal"/>
        <w:ind w:hanging="720" w:start="720" w:end="0"/>
        <w:jc w:val="both"/>
        <w:rPr>
          <w:sz w:val="24"/>
        </w:rPr>
      </w:pPr>
      <w:r>
        <w:rPr>
          <w:sz w:val="24"/>
        </w:rPr>
      </w:r>
    </w:p>
    <w:p>
      <w:pPr>
        <w:pStyle w:val="Normal"/>
        <w:ind w:hanging="720" w:start="720" w:end="0"/>
        <w:jc w:val="both"/>
        <w:rPr>
          <w:sz w:val="24"/>
        </w:rPr>
      </w:pPr>
      <w:r>
        <w:rPr>
          <w:sz w:val="24"/>
        </w:rPr>
        <w:tab/>
        <w:t>Attention: Director, Documentation Department</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713-974-6706</w:t>
        <w:tab/>
        <w:tab/>
        <w:tab/>
        <w:t>Telephone No.: 713-853-3300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B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B under this Agreement.   </w:t>
      </w:r>
    </w:p>
    <w:p>
      <w:pPr>
        <w:pStyle w:val="Normal"/>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B appoints as its Process Agent - none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B, unless Party B is a Defaulting Party in which case the Calculation Agent will be Party A.</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6"/>
        </w:numPr>
        <w:ind w:hanging="720" w:start="1440" w:end="0"/>
        <w:jc w:val="both"/>
        <w:rPr>
          <w:sz w:val="24"/>
        </w:rPr>
      </w:pPr>
      <w:r>
        <w:rPr>
          <w:sz w:val="24"/>
        </w:rPr>
        <w:t>The Credit Support Document entered into by Party A and Party B attached to this Agreement.</w:t>
      </w:r>
    </w:p>
    <w:p>
      <w:pPr>
        <w:pStyle w:val="Normal"/>
        <w:numPr>
          <w:ilvl w:val="0"/>
          <w:numId w:val="0"/>
        </w:numPr>
        <w:ind w:hanging="720" w:start="1440" w:end="0"/>
        <w:jc w:val="both"/>
        <w:rPr>
          <w:sz w:val="24"/>
        </w:rPr>
      </w:pPr>
      <w:r>
        <w:rPr>
          <w:sz w:val="24"/>
        </w:rPr>
      </w:r>
    </w:p>
    <w:p>
      <w:pPr>
        <w:pStyle w:val="Normal"/>
        <w:numPr>
          <w:ilvl w:val="0"/>
          <w:numId w:val="6"/>
        </w:numPr>
        <w:ind w:hanging="720" w:start="1440" w:end="0"/>
        <w:jc w:val="both"/>
        <w:rPr>
          <w:sz w:val="24"/>
        </w:rPr>
      </w:pPr>
      <w:r>
        <w:rPr>
          <w:sz w:val="24"/>
        </w:rPr>
        <w:t xml:space="preserve">With respect to Party B, Guaranty by Enron Corp. entered into effective as of October 29, 2001, in favor of Party A as beneficiary, a copy of which is attached hereto. </w:t>
      </w:r>
    </w:p>
    <w:p>
      <w:pPr>
        <w:pStyle w:val="Normal"/>
        <w:numPr>
          <w:ilvl w:val="0"/>
          <w:numId w:val="0"/>
        </w:numPr>
        <w:ind w:hanging="720" w:start="1440" w:end="0"/>
        <w:jc w:val="both"/>
        <w:rPr>
          <w:sz w:val="24"/>
        </w:rPr>
      </w:pPr>
      <w:r>
        <w:rPr>
          <w:sz w:val="24"/>
        </w:rPr>
      </w:r>
    </w:p>
    <w:p>
      <w:pPr>
        <w:pStyle w:val="Normal"/>
        <w:numPr>
          <w:ilvl w:val="0"/>
          <w:numId w:val="2"/>
        </w:numPr>
        <w:jc w:val="both"/>
        <w:rPr>
          <w:sz w:val="24"/>
        </w:rPr>
      </w:pPr>
      <w:r>
        <w:rPr>
          <w:b/>
          <w:sz w:val="24"/>
        </w:rPr>
        <w:t>Credit Support Provider.</w:t>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Credit Support Provider means, with respect to Party A, none.  </w:t>
      </w:r>
    </w:p>
    <w:p>
      <w:pPr>
        <w:pStyle w:val="Normal"/>
        <w:ind w:firstLine="720" w:end="0"/>
        <w:jc w:val="both"/>
        <w:rPr>
          <w:sz w:val="24"/>
        </w:rPr>
      </w:pPr>
      <w:r>
        <w:rPr>
          <w:sz w:val="24"/>
        </w:rPr>
      </w:r>
    </w:p>
    <w:p>
      <w:pPr>
        <w:pStyle w:val="Normal"/>
        <w:ind w:firstLine="720" w:end="0"/>
        <w:jc w:val="both"/>
        <w:rPr>
          <w:sz w:val="24"/>
          <w:u w:val="single"/>
        </w:rPr>
      </w:pPr>
      <w:r>
        <w:rPr>
          <w:sz w:val="24"/>
        </w:rPr>
        <w:t>Credit Support Provider means, with respect to Party B, Enron Corp.</w:t>
      </w:r>
    </w:p>
    <w:p>
      <w:pPr>
        <w:pStyle w:val="Normal"/>
        <w:ind w:firstLine="720" w:end="0"/>
        <w:jc w:val="both"/>
        <w:rPr>
          <w:sz w:val="24"/>
          <w:u w:val="single"/>
        </w:rPr>
      </w:pPr>
      <w:r>
        <w:rPr>
          <w:sz w:val="24"/>
          <w:u w:val="single"/>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numPr>
          <w:ilvl w:val="0"/>
          <w:numId w:val="2"/>
        </w:numPr>
        <w:jc w:val="both"/>
        <w:rPr>
          <w:sz w:val="24"/>
        </w:rPr>
      </w:pPr>
      <w:r>
        <w:rPr>
          <w:b/>
          <w:sz w:val="24"/>
        </w:rPr>
        <w:t xml:space="preserve">Jurisdiction.  </w:t>
      </w:r>
      <w:r>
        <w:rPr>
          <w:sz w:val="24"/>
        </w:rPr>
        <w:t>Section 13(b) is hereby deleted in its entirety and replaced with the following:</w:t>
      </w:r>
    </w:p>
    <w:p>
      <w:pPr>
        <w:pStyle w:val="Normal"/>
        <w:jc w:val="both"/>
        <w:rPr>
          <w:b/>
          <w:sz w:val="24"/>
        </w:rPr>
      </w:pPr>
      <w:r>
        <w:rPr>
          <w:b/>
          <w:sz w:val="24"/>
        </w:rPr>
      </w:r>
    </w:p>
    <w:p>
      <w:pPr>
        <w:pStyle w:val="Normal"/>
        <w:numPr>
          <w:ilvl w:val="0"/>
          <w:numId w:val="5"/>
        </w:numPr>
        <w:jc w:val="both"/>
        <w:rPr>
          <w:sz w:val="24"/>
        </w:rPr>
      </w:pPr>
      <w:r>
        <w:rPr>
          <w:b/>
          <w:sz w:val="24"/>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start="720" w:end="0"/>
        <w:jc w:val="both"/>
        <w:rPr>
          <w:b/>
          <w:sz w:val="24"/>
        </w:rPr>
      </w:pPr>
      <w:r>
        <w:rPr>
          <w:b/>
          <w:sz w:val="24"/>
        </w:rPr>
      </w:r>
    </w:p>
    <w:p>
      <w:pPr>
        <w:pStyle w:val="Normal"/>
        <w:ind w:start="1440" w:end="0"/>
        <w:jc w:val="both"/>
        <w:rPr/>
      </w:pPr>
      <w:r>
        <w:rPr>
          <w:b/>
          <w:sz w:val="24"/>
        </w:rPr>
        <w:t>Conduct Of The Arbitration, and Authority Of The Arbitrators:</w:t>
      </w:r>
      <w:r>
        <w:rPr>
          <w:sz w:val="24"/>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b/>
          <w:sz w:val="24"/>
        </w:rPr>
      </w:pPr>
      <w:r>
        <w:rPr>
          <w:b/>
          <w:sz w:val="24"/>
        </w:rPr>
      </w:r>
    </w:p>
    <w:p>
      <w:pPr>
        <w:pStyle w:val="Normal"/>
        <w:ind w:start="1440" w:end="0"/>
        <w:jc w:val="both"/>
        <w:rPr/>
      </w:pPr>
      <w:r>
        <w:rPr>
          <w:b/>
          <w:sz w:val="24"/>
        </w:rPr>
        <w:t>Forum For The Arbitration And Selection Of Arbitrators</w:t>
      </w:r>
      <w:r>
        <w:rPr>
          <w:sz w:val="24"/>
        </w:rPr>
        <w:t>: The arbitraton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the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b/>
          <w:sz w:val="24"/>
        </w:rPr>
      </w:pPr>
      <w:r>
        <w:rPr>
          <w:b/>
          <w:sz w:val="24"/>
        </w:rPr>
      </w:r>
    </w:p>
    <w:p>
      <w:pPr>
        <w:pStyle w:val="Normal"/>
        <w:ind w:start="1440" w:end="0"/>
        <w:jc w:val="both"/>
        <w:rPr/>
      </w:pPr>
      <w:r>
        <w:rPr>
          <w:b/>
          <w:sz w:val="24"/>
        </w:rPr>
        <w:t>Confidentiality</w:t>
      </w:r>
      <w:r>
        <w:rPr>
          <w:sz w:val="24"/>
        </w:rPr>
        <w:t xml:space="preserve">:  To the fullest extent permitted by law, any arbitraton proceeding and the arbitrators award shall be maintained in confidence by the parties.      </w:t>
      </w:r>
    </w:p>
    <w:p>
      <w:pPr>
        <w:pStyle w:val="Normal"/>
        <w:jc w:val="both"/>
        <w:rPr>
          <w:b/>
          <w:sz w:val="24"/>
        </w:rPr>
      </w:pPr>
      <w:r>
        <w:rPr>
          <w:b/>
          <w:sz w:val="24"/>
        </w:rPr>
      </w:r>
    </w:p>
    <w:p>
      <w:pPr>
        <w:pStyle w:val="Normal"/>
        <w:ind w:hanging="720" w:start="720" w:end="0"/>
        <w:jc w:val="both"/>
        <w:rPr/>
      </w:pPr>
      <w:r>
        <w:rPr>
          <w:sz w:val="24"/>
        </w:rPr>
        <w:t>(i)</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jc w:val="both"/>
        <w:rPr/>
      </w:pPr>
      <w:r>
        <w:rPr>
          <w:sz w:val="24"/>
        </w:rPr>
        <w:t>(j)</w:t>
      </w:r>
      <w:r>
        <w:rPr>
          <w:b/>
          <w:sz w:val="24"/>
        </w:rPr>
        <w:tab/>
        <w:t>“Affiliate”</w:t>
      </w:r>
      <w:r>
        <w:rPr>
          <w:sz w:val="24"/>
        </w:rPr>
        <w:t xml:space="preserve"> will have the meaning specified in Section 14 of this Agreement.</w:t>
      </w:r>
    </w:p>
    <w:p>
      <w:pPr>
        <w:pStyle w:val="Normal"/>
        <w:jc w:val="both"/>
        <w:rPr>
          <w:sz w:val="24"/>
        </w:rPr>
      </w:pPr>
      <w:r>
        <w:rPr>
          <w:sz w:val="24"/>
        </w:rPr>
        <w:t xml:space="preserve"> </w:t>
      </w:r>
    </w:p>
    <w:p>
      <w:pPr>
        <w:pStyle w:val="Normal"/>
        <w:ind w:hanging="720" w:start="720" w:end="0"/>
        <w:jc w:val="both"/>
        <w:rPr/>
      </w:pPr>
      <w:r>
        <w:rPr>
          <w:sz w:val="24"/>
        </w:rPr>
        <w:t>Part 5.</w:t>
        <w:tab/>
      </w:r>
      <w:r>
        <w:rPr>
          <w:b/>
          <w:sz w:val="24"/>
        </w:rPr>
        <w:t>Other Provisions.</w:t>
      </w:r>
    </w:p>
    <w:p>
      <w:pPr>
        <w:pStyle w:val="Normal"/>
        <w:ind w:hanging="720" w:start="720" w:end="0"/>
        <w:jc w:val="both"/>
        <w:rPr>
          <w:b/>
          <w:sz w:val="24"/>
        </w:rPr>
      </w:pPr>
      <w:r>
        <w:rPr>
          <w:b/>
          <w:sz w:val="24"/>
        </w:rPr>
      </w:r>
    </w:p>
    <w:p>
      <w:pPr>
        <w:pStyle w:val="Normal"/>
        <w:numPr>
          <w:ilvl w:val="0"/>
          <w:numId w:val="7"/>
        </w:numPr>
        <w:tabs>
          <w:tab w:val="clear" w:pos="720"/>
          <w:tab w:val="left" w:pos="-720" w:leader="none"/>
        </w:tabs>
        <w:suppressAutoHyphens w:val="true"/>
        <w:jc w:val="both"/>
        <w:rPr>
          <w:sz w:val="24"/>
        </w:rPr>
      </w:pPr>
      <w:r>
        <w:rPr>
          <w:b/>
          <w:sz w:val="24"/>
        </w:rPr>
        <w:t>Set-off.</w:t>
      </w:r>
      <w:r>
        <w:rPr>
          <w:sz w:val="24"/>
        </w:rPr>
        <w:t xml:space="preserve">  (A) Upon the designation or deemed designation of an Early Termination Date the Non-defaulting Party or the non- 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or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      </w:t>
      </w:r>
    </w:p>
    <w:p>
      <w:pPr>
        <w:pStyle w:val="Normal"/>
        <w:tabs>
          <w:tab w:val="clear" w:pos="720"/>
          <w:tab w:val="left" w:pos="-720" w:leader="none"/>
        </w:tabs>
        <w:suppressAutoHyphens w:val="true"/>
        <w:jc w:val="both"/>
        <w:rPr>
          <w:sz w:val="24"/>
        </w:rPr>
      </w:pPr>
      <w:r>
        <w:rPr>
          <w:sz w:val="24"/>
        </w:rPr>
        <w:t xml:space="preserve"> </w:t>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The parties hereby amend Section 9(e)(ii) by adding the following sentences to the end thereof: “Part B will use reasonable efforts to send to Party A a Confirmation on or promptly after the day the Transaction is agreed.  This notification shall, at minimum, set forth the essential economic terms of the Transaction.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received by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acknowledged deemed given as provided herein.   </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3"/>
        </w:numPr>
        <w:ind w:hanging="720" w:start="1440" w:end="0"/>
        <w:jc w:val="both"/>
        <w:rPr>
          <w:sz w:val="24"/>
        </w:rPr>
      </w:pPr>
      <w:r>
        <w:rPr>
          <w:b/>
          <w:sz w:val="24"/>
        </w:rPr>
        <w:t>Independent Reliance.</w:t>
      </w:r>
      <w:r>
        <w:rPr>
          <w:sz w:val="24"/>
        </w:rPr>
        <w:t xml:space="preserve">  In connection with this Agreement, any Credit Support Document to which it is a party, and each Transaction: (1) It is acting as principle for its own account, and it has made its own independent decisions to enter this Agreement, any Credit Support Document or any Transaction and as to whether that Agreement, Credit Support Document, or Transaction is appropriate or proper for it based upon its own judgment and upon advice from such advisers as it has deemed necessary. (2) It is not acting as a fiduciary, agent, financial, investment or commodity trading advisor for the other party in connection with the negotiation and execution of this Agreement, any Credit Support Document or any Transaction; (3) It is not relying on any communication (written or oral) of the other party as investment advice or as a recommendation to enter into this Agreement, any Credit Support Document, or any Transaction, it being understood that information and explanations related to the terms and conditions of this Agreement, a Credit Support Document or any Transaction shall not be considered investment advice or a recommendation to enter into that Agreement, Credit Support Document or Transaction; (4) No communication (written or oral) received from the other party shall be deemed to be an assurance, representation, or guarantee as to the expected or projected success, profitability, return, performance, result, effect, consequence, or benefit (either legal, regulatory, tax, financial, and accounting advisors to or otherwise) of this Agreement or any Transaction; (v) it has consulted with its own legal, regulatory, tax, business, investment, financial, and accounting advisors to the extent it has deemed necessary, and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(viii) it is entering into this Agreement, such Credit Support Document, and such Transaction with a full understanding of all of the risks hereof and thereof (economic or otherwise), and it is capable of assuming and willing to assume those risks. </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3"/>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 and an “eligible commercial entity” as defined in Section 1.a.(11) of the Commodity Exchange Act.</w:t>
      </w:r>
    </w:p>
    <w:p>
      <w:pPr>
        <w:pStyle w:val="Normal"/>
        <w:ind w:start="1440" w:end="0"/>
        <w:rPr>
          <w:sz w:val="24"/>
        </w:rPr>
      </w:pPr>
      <w:r>
        <w:rPr>
          <w:sz w:val="24"/>
        </w:rPr>
      </w:r>
    </w:p>
    <w:p>
      <w:pPr>
        <w:pStyle w:val="Normal"/>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Normal"/>
        <w:rPr>
          <w:sz w:val="24"/>
        </w:rPr>
      </w:pPr>
      <w:r>
        <w:rPr>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waive any further notice of such recording and agree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rPr>
          <w:sz w:val="24"/>
        </w:rPr>
      </w:pPr>
      <w:r>
        <w:rPr>
          <w:sz w:val="24"/>
        </w:rPr>
      </w:r>
    </w:p>
    <w:p>
      <w:pPr>
        <w:pStyle w:val="Heading1"/>
        <w:ind w:hanging="0" w:start="0"/>
        <w:rPr/>
      </w:pPr>
      <w:r>
        <w:rPr>
          <w:sz w:val="24"/>
          <w:u w:val="none"/>
        </w:rPr>
        <w:t xml:space="preserve">(h)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8"/>
        </w:numPr>
        <w:ind w:hanging="720" w:start="1440" w:end="-360"/>
        <w:rPr>
          <w:sz w:val="24"/>
        </w:rPr>
      </w:pPr>
      <w:r>
        <w:rPr>
          <w:sz w:val="24"/>
        </w:rPr>
        <w:t>A pricing differential rounded to four decimal places is specified in the Confirmation; or</w:t>
      </w:r>
    </w:p>
    <w:p>
      <w:pPr>
        <w:pStyle w:val="Normal"/>
        <w:numPr>
          <w:ilvl w:val="0"/>
          <w:numId w:val="8"/>
        </w:numPr>
        <w:ind w:hanging="720" w:start="1440" w:end="-360"/>
        <w:rPr>
          <w:sz w:val="24"/>
        </w:rPr>
      </w:pPr>
      <w:r>
        <w:rPr>
          <w:sz w:val="24"/>
        </w:rPr>
        <w:t>The Commodity Reference price is expressed in millions of British thermal units of natural gas</w:t>
      </w:r>
    </w:p>
    <w:p>
      <w:pPr>
        <w:pStyle w:val="Normal"/>
        <w:numPr>
          <w:ilvl w:val="0"/>
          <w:numId w:val="8"/>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(i)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jc w:val="both"/>
        <w:rPr>
          <w:sz w:val="24"/>
        </w:rPr>
      </w:pPr>
      <w:r>
        <w:rPr>
          <w:sz w:val="24"/>
        </w:rPr>
      </w:r>
    </w:p>
    <w:p>
      <w:pPr>
        <w:pStyle w:val="Normal"/>
        <w:jc w:val="both"/>
        <w:rPr/>
      </w:pPr>
      <w:r>
        <w:rPr>
          <w:sz w:val="24"/>
        </w:rPr>
        <w:t>(j)</w:t>
        <w:tab/>
      </w:r>
      <w:r>
        <w:rPr>
          <w:b/>
          <w:bCs/>
          <w:sz w:val="24"/>
        </w:rPr>
        <w:t>Transfer.</w:t>
      </w:r>
      <w:r>
        <w:rPr>
          <w:sz w:val="24"/>
        </w:rPr>
        <w:t xml:space="preserve">  Section 7 is hereby amended by adding the following Subsection (c):</w:t>
      </w:r>
    </w:p>
    <w:p>
      <w:pPr>
        <w:pStyle w:val="Normal"/>
        <w:jc w:val="both"/>
        <w:rPr>
          <w:sz w:val="24"/>
        </w:rPr>
      </w:pPr>
      <w:r>
        <w:rPr>
          <w:sz w:val="24"/>
        </w:rPr>
      </w:r>
    </w:p>
    <w:p>
      <w:pPr>
        <w:pStyle w:val="Normal"/>
        <w:ind w:start="720" w:end="0"/>
        <w:jc w:val="both"/>
        <w:rPr>
          <w:sz w:val="24"/>
        </w:rPr>
      </w:pPr>
      <w:r>
        <w:rPr>
          <w:sz w:val="24"/>
          <w:szCs w:val="22"/>
        </w:rPr>
        <w:t>“</w:t>
      </w:r>
      <w:r>
        <w:rPr>
          <w:sz w:val="24"/>
          <w:szCs w:val="22"/>
        </w:rPr>
        <w:t>(c)  Party B may transfer its rights and obligations under this Agreement, in whole but not in part, to any Affiliate so long as the obligations of such Affiliate are guaranteed by Enron Corp. pursuant to a guaranty substantially similar to the one provided on behalf of Party B hereunder, provided that such transfer will not give rise to a Termination Event or an Event of Default.”</w:t>
      </w:r>
    </w:p>
    <w:p>
      <w:pPr>
        <w:pStyle w:val="Normal"/>
        <w:ind w:start="720" w:end="0"/>
        <w:jc w:val="both"/>
        <w:rPr>
          <w:sz w:val="24"/>
        </w:rPr>
      </w:pPr>
      <w:r>
        <w:rPr>
          <w:sz w:val="24"/>
        </w:rPr>
      </w:r>
    </w:p>
    <w:p>
      <w:pPr>
        <w:pStyle w:val="Normal"/>
        <w:ind w:hanging="720" w:start="720" w:end="0"/>
        <w:jc w:val="both"/>
        <w:rPr/>
      </w:pPr>
      <w:r>
        <w:rPr>
          <w:bCs/>
          <w:sz w:val="24"/>
        </w:rPr>
        <w:t>(k)</w:t>
      </w:r>
      <w:r>
        <w:rPr>
          <w:b/>
          <w:sz w:val="24"/>
        </w:rPr>
        <w:tab/>
        <w:t>Reference Market-makers.</w:t>
      </w:r>
      <w:r>
        <w:rPr>
          <w:sz w:val="24"/>
        </w:rPr>
        <w:t xml:space="preserve">  The definition of </w:t>
      </w:r>
      <w:r>
        <w:rPr>
          <w:b/>
          <w:sz w:val="24"/>
        </w:rPr>
        <w:t>“Reference Market-makers”</w:t>
      </w:r>
      <w:r>
        <w:rPr>
          <w:sz w:val="24"/>
        </w:rPr>
        <w:t xml:space="preserve"> in Section 14 is hereby amended by deleting clause (b) thereof.</w:t>
      </w:r>
    </w:p>
    <w:p>
      <w:pPr>
        <w:pStyle w:val="Normal"/>
        <w:jc w:val="both"/>
        <w:rPr>
          <w:sz w:val="24"/>
        </w:rPr>
      </w:pPr>
      <w:r>
        <w:rPr/>
        <w:tab/>
        <w:t xml:space="preserve">  </w:t>
      </w:r>
    </w:p>
    <w:p>
      <w:pPr>
        <w:pStyle w:val="Normal"/>
        <w:ind w:hanging="720" w:start="720" w:end="0"/>
        <w:jc w:val="both"/>
        <w:rPr/>
      </w:pPr>
      <w:r>
        <w:rPr>
          <w:sz w:val="24"/>
        </w:rPr>
        <w:t>(l)</w:t>
      </w:r>
      <w:r>
        <w:rPr>
          <w:b/>
          <w:sz w:val="24"/>
        </w:rPr>
        <w:tab/>
        <w:t>LIMITATION OF LIABILITY.  NO PARTY SHALL BE REQUIRED TO PAY OR BE LIABLE FOR SPECIAL, PUNITIVE, EXEMPLARY, INCIDENTAL, CONSEQUENTIAL, OR INDIRECT DAMAGES (WHETHER OR NOT ARISING FROM ITS NEGLIGANCE) TO ANY OTHER PARTY; PROVIDED, HOWEVER, THAT NOTHING IN THIS PROVISION SHALL AFFECT THE ENFORCEABILTY OF SECTION 6(e) OF THIS AGREEMENT.  IF AND TO THE EXTENT ANY PAYMENT REQUIRED TO BE MADE PURSUANT TO THIS AGREEMENT IS DEEMED TO CONSTITUTE LIQUIDATED DAMAGES, THE PARTIES ACKNOWLEDGE AND AGREE THJAT SUCH DAMAGES ARE DIFFICULT OR IMPOSSIBLE TO DETERMINE AND THAT SUCH PAYMENT IS INTENED TO BE A REASONABLE AND GENUINE PRE-ESTIMATE AND APPROXIMATION OF THE AMOUNT OF SUCH DAMAGES AND NOT A PENALTY.</w:t>
      </w:r>
    </w:p>
    <w:p>
      <w:pPr>
        <w:pStyle w:val="Normal"/>
        <w:jc w:val="both"/>
        <w:rPr>
          <w:b/>
          <w:sz w:val="24"/>
        </w:rPr>
      </w:pPr>
      <w:r>
        <w:rPr>
          <w:b/>
          <w:sz w:val="24"/>
        </w:rPr>
      </w:r>
    </w:p>
    <w:p>
      <w:pPr>
        <w:pStyle w:val="Normal"/>
        <w:ind w:hanging="720" w:start="720" w:end="0"/>
        <w:jc w:val="both"/>
        <w:rPr>
          <w:b/>
          <w:sz w:val="24"/>
        </w:rPr>
      </w:pPr>
      <w:r>
        <w:rPr>
          <w:bCs/>
          <w:sz w:val="24"/>
        </w:rPr>
        <w:t>(m)</w:t>
      </w:r>
      <w:r>
        <w:rPr>
          <w:b/>
          <w:sz w:val="24"/>
        </w:rPr>
        <w:tab/>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or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b/>
          <w:sz w:val="24"/>
        </w:rPr>
      </w:pPr>
      <w:r>
        <w:rPr>
          <w:b/>
          <w:sz w:val="24"/>
        </w:rPr>
      </w:r>
    </w:p>
    <w:p>
      <w:pPr>
        <w:pStyle w:val="BodyText"/>
        <w:ind w:hanging="720" w:start="720" w:end="0"/>
        <w:rPr>
          <w:b/>
        </w:rPr>
      </w:pPr>
      <w:r>
        <w:rPr/>
        <w:t xml:space="preserve">(n)    </w:t>
      </w:r>
      <w:r>
        <w:rPr>
          <w:b/>
        </w:rPr>
        <w:t xml:space="preserve">Enron On-Line.  </w:t>
      </w:r>
      <w:r>
        <w:rPr/>
        <w:t xml:space="preserve"> For the sake of good order, the terms of this Agreement govern any Transactions entered into by Party A and Party B on Enron On-Line. In the event of any inconsistency between the provisions of this Agreement and the terms published by Enron On-Line, Party A and Party B agree that this Agreement will prevail.</w:t>
      </w:r>
    </w:p>
    <w:p>
      <w:pPr>
        <w:pStyle w:val="Normal"/>
        <w:ind w:hanging="720" w:start="720" w:end="0"/>
        <w:jc w:val="both"/>
        <w:rPr>
          <w:b/>
          <w:sz w:val="24"/>
        </w:rPr>
      </w:pPr>
      <w:r>
        <w:rPr>
          <w:b/>
          <w:sz w:val="24"/>
        </w:rPr>
      </w:r>
    </w:p>
    <w:p>
      <w:pPr>
        <w:pStyle w:val="Normal"/>
        <w:ind w:hanging="720" w:start="720" w:end="0"/>
        <w:jc w:val="both"/>
        <w:rPr>
          <w:sz w:val="24"/>
        </w:rPr>
      </w:pPr>
      <w:r>
        <w:rPr>
          <w:sz w:val="24"/>
        </w:rPr>
        <w:t>Part 6.</w:t>
        <w:tab/>
      </w:r>
      <w:r>
        <w:rPr>
          <w:b/>
          <w:sz w:val="24"/>
        </w:rPr>
        <w:t>Terms of Transactions.</w:t>
      </w:r>
    </w:p>
    <w:p>
      <w:pPr>
        <w:pStyle w:val="Normal"/>
        <w:jc w:val="both"/>
        <w:rPr>
          <w:sz w:val="24"/>
        </w:rPr>
      </w:pPr>
      <w:r>
        <w:rPr>
          <w:sz w:val="24"/>
        </w:rPr>
      </w:r>
    </w:p>
    <w:p>
      <w:pPr>
        <w:pStyle w:val="Normal"/>
        <w:numPr>
          <w:ilvl w:val="0"/>
          <w:numId w:val="0"/>
        </w:numPr>
        <w:ind w:hanging="720" w:start="720" w:end="0"/>
        <w:jc w:val="both"/>
        <w:outlineLvl w:val="0"/>
        <w:rPr/>
      </w:pPr>
      <w:r>
        <w:rPr>
          <w:sz w:val="24"/>
        </w:rPr>
        <w:t>(a)</w:t>
        <w:tab/>
      </w:r>
      <w:r>
        <w:rPr>
          <w:b/>
          <w:sz w:val="24"/>
        </w:rPr>
        <w:t>Market Disruption Events</w:t>
      </w:r>
      <w:r>
        <w:rPr>
          <w:sz w:val="24"/>
        </w:rPr>
        <w:t>.  In lieu of Section 7.4(d) of the Commodity Definitions, the “Market Disruption Events” specified in Section 7.4(c)(i), (c)(ii), (c)(iii), (c)(iv),</w:t>
      </w:r>
    </w:p>
    <w:p>
      <w:pPr>
        <w:pStyle w:val="Normal"/>
        <w:ind w:start="720" w:end="0"/>
        <w:rPr>
          <w:sz w:val="24"/>
        </w:rPr>
      </w:pPr>
      <w:r>
        <w:rPr>
          <w:sz w:val="24"/>
        </w:rPr>
        <w:t>(c)(v) and (c)(viii) of the Commodity Definitions shall apply, except as otherwise specified in the relevant Confirmation.</w:t>
      </w:r>
    </w:p>
    <w:p>
      <w:pPr>
        <w:pStyle w:val="Normal"/>
        <w:ind w:start="720" w:end="0"/>
        <w:rPr>
          <w:sz w:val="24"/>
        </w:rPr>
      </w:pPr>
      <w:r>
        <w:rPr>
          <w:sz w:val="24"/>
        </w:rPr>
      </w:r>
    </w:p>
    <w:p>
      <w:pPr>
        <w:pStyle w:val="Normal"/>
        <w:ind w:start="720" w:end="0"/>
        <w:rPr>
          <w:sz w:val="24"/>
        </w:rPr>
      </w:pPr>
      <w:r>
        <w:rPr>
          <w:sz w:val="24"/>
        </w:rPr>
        <w:t xml:space="preserve">(c) </w:t>
        <w:tab/>
        <w:t>Section 7.4(c)(viii) of the Commodity Definitions is hereby amended by the addition of the following at the end thereof:</w:t>
      </w:r>
    </w:p>
    <w:p>
      <w:pPr>
        <w:pStyle w:val="Normal"/>
        <w:rPr>
          <w:sz w:val="24"/>
        </w:rPr>
      </w:pPr>
      <w:r>
        <w:rPr>
          <w:sz w:val="24"/>
        </w:rPr>
      </w:r>
    </w:p>
    <w:p>
      <w:pPr>
        <w:pStyle w:val="Normal"/>
        <w:ind w:hanging="720" w:start="720" w:end="0"/>
        <w:rPr>
          <w:sz w:val="24"/>
        </w:rPr>
      </w:pPr>
      <w:r>
        <w:rPr>
          <w:sz w:val="24"/>
        </w:rPr>
        <w:tab/>
        <w:t>For these purposes, a limitation of trading on any Commodity Business Day shall be deemed to be material only if the relevant Exchange establishes limits or the range within which the price of the Futures Contract may fluctuate in the first nearby month and the closing or settlement price of such Futures Contract or such day is at the upper or lower limit of that range.</w:t>
      </w:r>
    </w:p>
    <w:p>
      <w:pPr>
        <w:pStyle w:val="Normal"/>
        <w:rPr>
          <w:sz w:val="24"/>
        </w:rPr>
      </w:pPr>
      <w:r>
        <w:rPr>
          <w:sz w:val="24"/>
        </w:rPr>
        <w:t xml:space="preserve"> </w:t>
      </w:r>
    </w:p>
    <w:p>
      <w:pPr>
        <w:pStyle w:val="Normal"/>
        <w:numPr>
          <w:ilvl w:val="0"/>
          <w:numId w:val="5"/>
        </w:numPr>
        <w:rPr>
          <w:sz w:val="24"/>
        </w:rPr>
      </w:pPr>
      <w:r>
        <w:rPr>
          <w:sz w:val="24"/>
        </w:rPr>
        <w:t>Section 7.5(e) of the Commodity Definitions is hereby deleted.</w:t>
      </w:r>
    </w:p>
    <w:p>
      <w:pPr>
        <w:pStyle w:val="Normal"/>
        <w:rPr>
          <w:sz w:val="24"/>
        </w:rPr>
      </w:pPr>
      <w:r>
        <w:rPr>
          <w:sz w:val="24"/>
        </w:rPr>
      </w:r>
    </w:p>
    <w:p>
      <w:pPr>
        <w:pStyle w:val="Normal"/>
        <w:numPr>
          <w:ilvl w:val="0"/>
          <w:numId w:val="5"/>
        </w:numPr>
        <w:rPr>
          <w:sz w:val="24"/>
        </w:rPr>
      </w:pPr>
      <w:r>
        <w:rPr>
          <w:sz w:val="24"/>
        </w:rPr>
        <w:t>“</w:t>
      </w:r>
      <w:r>
        <w:rPr>
          <w:sz w:val="24"/>
        </w:rPr>
        <w:t>Additional Market Disruption Events” shall apply only if so specified in the relevant Confirmation.</w:t>
      </w:r>
    </w:p>
    <w:p>
      <w:pPr>
        <w:pStyle w:val="Normal"/>
        <w:rPr>
          <w:sz w:val="24"/>
        </w:rPr>
      </w:pPr>
      <w:r>
        <w:rPr>
          <w:sz w:val="24"/>
        </w:rPr>
      </w:r>
    </w:p>
    <w:p>
      <w:pPr>
        <w:pStyle w:val="Normal"/>
        <w:numPr>
          <w:ilvl w:val="0"/>
          <w:numId w:val="5"/>
        </w:numPr>
        <w:rPr>
          <w:sz w:val="24"/>
        </w:rPr>
      </w:pPr>
      <w:r>
        <w:rPr>
          <w:b/>
          <w:sz w:val="24"/>
        </w:rPr>
        <w:t>Disruption Fallbacks.</w:t>
      </w:r>
      <w:r>
        <w:rPr>
          <w:sz w:val="24"/>
        </w:rPr>
        <w:t xml:space="preserve"> The “Disruption Fallbacks” specified below and described in Section 7.5(c) of the 2000 Commodity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9"/>
        </w:numPr>
        <w:rPr>
          <w:sz w:val="24"/>
        </w:rPr>
      </w:pPr>
      <w:r>
        <w:rPr>
          <w:sz w:val="24"/>
        </w:rPr>
        <w:t>Postponement with eight (8) Maximum Days of Disruption</w:t>
      </w:r>
    </w:p>
    <w:p>
      <w:pPr>
        <w:pStyle w:val="Normal"/>
        <w:ind w:start="2100" w:end="0"/>
        <w:rPr>
          <w:sz w:val="24"/>
        </w:rPr>
      </w:pPr>
      <w:r>
        <w:rPr>
          <w:sz w:val="24"/>
        </w:rPr>
        <w:t>-Section 7.5(c)(vi)</w:t>
      </w:r>
    </w:p>
    <w:p>
      <w:pPr>
        <w:pStyle w:val="Normal"/>
        <w:ind w:start="2100" w:end="0"/>
        <w:rPr>
          <w:sz w:val="24"/>
        </w:rPr>
      </w:pPr>
      <w:r>
        <w:rPr>
          <w:sz w:val="24"/>
        </w:rPr>
      </w:r>
    </w:p>
    <w:p>
      <w:pPr>
        <w:pStyle w:val="Normal"/>
        <w:numPr>
          <w:ilvl w:val="0"/>
          <w:numId w:val="9"/>
        </w:numPr>
        <w:rPr>
          <w:sz w:val="24"/>
        </w:rPr>
      </w:pPr>
      <w:r>
        <w:rPr>
          <w:sz w:val="24"/>
        </w:rPr>
        <w:t>Fallback Reference Price-Section 7.5(c)(ii)</w:t>
      </w:r>
    </w:p>
    <w:p>
      <w:pPr>
        <w:pStyle w:val="Normal"/>
        <w:ind w:start="1740" w:end="0"/>
        <w:rPr>
          <w:sz w:val="24"/>
        </w:rPr>
      </w:pPr>
      <w:r>
        <w:rPr>
          <w:sz w:val="24"/>
        </w:rPr>
      </w:r>
    </w:p>
    <w:p>
      <w:pPr>
        <w:pStyle w:val="Normal"/>
        <w:numPr>
          <w:ilvl w:val="0"/>
          <w:numId w:val="9"/>
        </w:numPr>
        <w:rPr>
          <w:sz w:val="24"/>
        </w:rPr>
      </w:pP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4.  Fallback Reference Dealers-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r>
        <w:br w:type="page"/>
      </w:r>
    </w:p>
    <w:p>
      <w:pPr>
        <w:pStyle w:val="Normal"/>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numPr>
          <w:ilvl w:val="0"/>
          <w:numId w:val="4"/>
        </w:numPr>
        <w:rPr>
          <w:sz w:val="24"/>
        </w:rPr>
      </w:pPr>
      <w:r>
        <w:rPr>
          <w:sz w:val="24"/>
        </w:rPr>
        <w:t>Fallback Reference Price-Section 7.5(c)(ii)</w:t>
      </w:r>
    </w:p>
    <w:p>
      <w:pPr>
        <w:pStyle w:val="Normal"/>
        <w:ind w:start="1800" w:end="0"/>
        <w:rPr>
          <w:sz w:val="24"/>
        </w:rPr>
      </w:pPr>
      <w:r>
        <w:rPr>
          <w:sz w:val="24"/>
        </w:rPr>
      </w:r>
    </w:p>
    <w:p>
      <w:pPr>
        <w:pStyle w:val="Normal"/>
        <w:numPr>
          <w:ilvl w:val="0"/>
          <w:numId w:val="4"/>
        </w:numPr>
        <w:rPr>
          <w:sz w:val="24"/>
        </w:rPr>
      </w:pPr>
      <w:r>
        <w:rPr>
          <w:sz w:val="24"/>
        </w:rPr>
        <w:t xml:space="preserve"> </w:t>
      </w: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3.  Fallback Reference Price-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b/>
          <w:sz w:val="24"/>
        </w:rPr>
      </w:pPr>
      <w:r>
        <w:rPr>
          <w:b/>
          <w:sz w:val="24"/>
        </w:rPr>
        <w:t>Amerada Hess Corporation                        Enron North America Corp.</w:t>
      </w:r>
    </w:p>
    <w:p>
      <w:pPr>
        <w:pStyle w:val="Normal"/>
        <w:jc w:val="both"/>
        <w:rPr>
          <w:b/>
          <w:sz w:val="24"/>
        </w:rPr>
      </w:pPr>
      <w:r>
        <w:rPr>
          <w:b/>
          <w:sz w:val="24"/>
        </w:rPr>
      </w:r>
    </w:p>
    <w:p>
      <w:pPr>
        <w:pStyle w:val="Normal"/>
        <w:jc w:val="both"/>
        <w:rPr>
          <w:sz w:val="24"/>
        </w:rPr>
      </w:pPr>
      <w:r>
        <w:rPr>
          <w:sz w:val="24"/>
        </w:rPr>
      </w:r>
    </w:p>
    <w:p>
      <w:pPr>
        <w:pStyle w:val="Normal"/>
        <w:ind w:hanging="864" w:start="864" w:end="-630"/>
        <w:jc w:val="both"/>
        <w:rPr/>
      </w:pPr>
      <w:r>
        <w:rPr/>
        <w:t>By: ____________________________</w:t>
        <w:tab/>
        <w:tab/>
        <w:t>By:____________________________</w:t>
      </w:r>
    </w:p>
    <w:p>
      <w:pPr>
        <w:pStyle w:val="Normal"/>
        <w:ind w:hanging="864" w:start="864" w:end="-630"/>
        <w:jc w:val="both"/>
        <w:rPr/>
      </w:pPr>
      <w:r>
        <w:rPr/>
      </w:r>
    </w:p>
    <w:p>
      <w:pPr>
        <w:pStyle w:val="Normal"/>
        <w:ind w:hanging="864" w:start="864" w:end="-630"/>
        <w:jc w:val="both"/>
        <w:rPr/>
      </w:pPr>
      <w:r>
        <w:rPr/>
        <w:t>Name: Richard E. Guerry</w:t>
        <w:tab/>
        <w:tab/>
        <w:tab/>
        <w:tab/>
        <w:t>Name: __________________________</w:t>
      </w:r>
    </w:p>
    <w:p>
      <w:pPr>
        <w:pStyle w:val="Normal"/>
        <w:ind w:hanging="864" w:start="864" w:end="-630"/>
        <w:jc w:val="both"/>
        <w:rPr/>
      </w:pPr>
      <w:r>
        <w:rPr/>
      </w:r>
    </w:p>
    <w:p>
      <w:pPr>
        <w:pStyle w:val="Normal"/>
        <w:ind w:end="-630"/>
        <w:jc w:val="both"/>
        <w:rPr/>
      </w:pPr>
      <w:r>
        <w:rPr/>
        <w:t>Title: Vice President-Commodities Accounting</w:t>
        <w:tab/>
        <w:t>Title: ___________________________</w:t>
        <w:tab/>
      </w:r>
    </w:p>
    <w:p>
      <w:pPr>
        <w:pStyle w:val="Normal"/>
        <w:ind w:hanging="864" w:start="864" w:end="-630"/>
        <w:jc w:val="both"/>
        <w:rPr/>
      </w:pPr>
      <w:r>
        <w:rPr/>
      </w:r>
    </w:p>
    <w:p>
      <w:pPr>
        <w:pStyle w:val="Normal"/>
        <w:ind w:hanging="864" w:start="864" w:end="-630"/>
        <w:jc w:val="both"/>
        <w:rPr/>
      </w:pPr>
      <w:r>
        <w:rPr/>
        <w:t>Date: ____/_____/_____</w:t>
        <w:tab/>
        <w:tab/>
        <w:tab/>
        <w:tab/>
        <w:t>Date: ____/_____/_____</w:t>
        <w:tab/>
      </w:r>
    </w:p>
    <w:p>
      <w:pPr>
        <w:pStyle w:val="Normal"/>
        <w:rPr/>
      </w:pPr>
      <w:r>
        <w:rPr/>
      </w:r>
    </w:p>
    <w:p>
      <w:pPr>
        <w:pStyle w:val="Header"/>
        <w:tabs>
          <w:tab w:val="clear" w:pos="4320"/>
          <w:tab w:val="clear" w:pos="8640"/>
        </w:tabs>
        <w:rPr/>
      </w:pPr>
      <w:r>
        <w:rPr/>
      </w:r>
    </w:p>
    <w:sectPr>
      <w:footerReference w:type="default" r:id="rId4"/>
      <w:type w:val="nextPage"/>
      <w:pgSz w:w="12240" w:h="15840"/>
      <w:pgMar w:left="144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7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360"/>
        </w:tabs>
        <w:ind w:start="1080" w:hanging="360"/>
      </w:pPr>
    </w:lvl>
  </w:abstractNum>
  <w:abstractNum w:abstractNumId="4">
    <w:lvl w:ilvl="0">
      <w:start w:val="1"/>
      <w:numFmt w:val="decimal"/>
      <w:lvlText w:val="%1."/>
      <w:lvlJc w:val="start"/>
      <w:pPr>
        <w:tabs>
          <w:tab w:val="num" w:pos="2160"/>
        </w:tabs>
        <w:ind w:start="2160" w:hanging="360"/>
      </w:pPr>
      <w:rPr/>
    </w:lvl>
  </w:abstractNum>
  <w:abstractNum w:abstractNumId="5">
    <w:lvl w:ilvl="0">
      <w:start w:val="2"/>
      <w:numFmt w:val="lowerLetter"/>
      <w:lvlText w:val="(%1)"/>
      <w:lvlJc w:val="start"/>
      <w:pPr>
        <w:tabs>
          <w:tab w:val="num" w:pos="1440"/>
        </w:tabs>
        <w:ind w:start="1440" w:hanging="720"/>
      </w:pPr>
      <w:rPr/>
    </w:lvl>
  </w:abstractNum>
  <w:abstractNum w:abstractNumId="6">
    <w:lvl w:ilvl="0">
      <w:start w:val="1"/>
      <w:numFmt w:val="lowerRoman"/>
      <w:lvlText w:val="(%1)"/>
      <w:lvlJc w:val="start"/>
      <w:pPr>
        <w:tabs>
          <w:tab w:val="num" w:pos="360"/>
        </w:tabs>
        <w:ind w:start="1080" w:hanging="360"/>
      </w:pPr>
    </w:lvl>
  </w:abstractNum>
  <w:abstractNum w:abstractNumId="7">
    <w:lvl w:ilvl="0">
      <w:start w:val="1"/>
      <w:numFmt w:val="lowerLetter"/>
      <w:lvlText w:val="(%1)"/>
      <w:lvlJc w:val="start"/>
      <w:pPr>
        <w:tabs>
          <w:tab w:val="num" w:pos="720"/>
        </w:tabs>
        <w:ind w:start="720" w:hanging="720"/>
      </w:pPr>
      <w:rPr/>
    </w:lvl>
  </w:abstractNum>
  <w:abstractNum w:abstractNumId="8">
    <w:lvl w:ilvl="0">
      <w:start w:val="1"/>
      <w:numFmt w:val="lowerRoman"/>
      <w:lvlText w:val="(%1)"/>
      <w:lvlJc w:val="start"/>
      <w:pPr>
        <w:tabs>
          <w:tab w:val="num" w:pos="1440"/>
        </w:tabs>
        <w:ind w:start="1440" w:hanging="720"/>
      </w:pPr>
      <w:rPr/>
    </w:lvl>
  </w:abstractNum>
  <w:abstractNum w:abstractNumId="9">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both"/>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b/>
    </w:rPr>
  </w:style>
  <w:style w:type="character" w:styleId="WW8Num2z0">
    <w:name w:val="WW8Num2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BodyTextFirstIndent">
    <w:name w:val="Body Text First Indent"/>
    <w:basedOn w:val="BodyText"/>
    <w:qFormat/>
    <w:pPr>
      <w:spacing w:before="0" w:after="120"/>
      <w:ind w:firstLine="210" w:start="0" w:end="0"/>
      <w:jc w:val="start"/>
    </w:pPr>
    <w:rPr>
      <w:sz w:val="20"/>
    </w:rPr>
  </w:style>
  <w:style w:type="paragraph" w:styleId="EndnoteText">
    <w:name w:val="endnote text"/>
    <w:basedOn w:val="BodyTextFirstIndent"/>
    <w:pPr>
      <w:ind w:hanging="0" w:start="0" w:end="0"/>
    </w:pPr>
    <w:rPr/>
  </w:style>
  <w:style w:type="paragraph" w:styleId="FootnoteText">
    <w:name w:val="footnote text"/>
    <w:basedOn w:val="Normal"/>
    <w:pPr>
      <w:widowControl w:val="false"/>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ss.com/" TargetMode="External"/><Relationship Id="rId3" Type="http://schemas.openxmlformats.org/officeDocument/2006/relationships/hyperlink" Target="http://www.hes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2001-11-07T12:39:00Z</dcterms:created>
  <dc:creator>JR</dc:creator>
  <dc:description/>
  <dc:language>en-CA</dc:language>
  <cp:lastModifiedBy>mheard</cp:lastModifiedBy>
  <cp:lastPrinted>2001-11-07T10:53:00Z</cp:lastPrinted>
  <dcterms:modified xsi:type="dcterms:W3CDTF">2001-11-07T14:23:00Z</dcterms:modified>
  <cp:revision>4</cp:revision>
  <dc:subject/>
  <dc:title>SCHEDULE</dc:title>
</cp:coreProperties>
</file>