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3600"/>
          <w:tab w:val="left" w:pos="5040" w:leader="none"/>
        </w:tabs>
        <w:ind w:hanging="0" w:start="0"/>
        <w:rPr>
          <w:rFonts w:ascii="Times New Roman" w:hAnsi="Times New Roman" w:cs="Times New Roman"/>
        </w:rPr>
      </w:pPr>
      <w:r>
        <w:rPr>
          <w:rFonts w:cs="Times New Roman" w:ascii="Times New Roman" w:hAnsi="Times New Roman"/>
        </w:rPr>
        <w:tab/>
        <w:t>February 22, 2000</w:t>
      </w:r>
    </w:p>
    <w:p>
      <w:pPr>
        <w:pStyle w:val="Normal"/>
        <w:tabs>
          <w:tab w:val="clear" w:pos="720"/>
          <w:tab w:val="left" w:pos="5040" w:leader="none"/>
        </w:tabs>
        <w:rPr>
          <w:rFonts w:ascii="Times New Roman" w:hAnsi="Times New Roman" w:cs="Times New Roman"/>
          <w:sz w:val="24"/>
        </w:rPr>
      </w:pPr>
      <w:r>
        <w:rPr>
          <w:rFonts w:cs="Times New Roman"/>
          <w:sz w:val="24"/>
        </w:rPr>
      </w:r>
    </w:p>
    <w:p>
      <w:pPr>
        <w:pStyle w:val="Normal"/>
        <w:tabs>
          <w:tab w:val="clear" w:pos="720"/>
          <w:tab w:val="left" w:pos="3600" w:leader="none"/>
          <w:tab w:val="left" w:pos="5040" w:leader="none"/>
        </w:tabs>
        <w:rPr>
          <w:sz w:val="24"/>
        </w:rPr>
      </w:pPr>
      <w:r>
        <w:rPr>
          <w:sz w:val="24"/>
        </w:rPr>
        <w:t>Ms. Elise Kalmans</w:t>
      </w:r>
    </w:p>
    <w:p>
      <w:pPr>
        <w:pStyle w:val="Normal"/>
        <w:tabs>
          <w:tab w:val="clear" w:pos="720"/>
          <w:tab w:val="left" w:pos="3600" w:leader="none"/>
          <w:tab w:val="left" w:pos="5040" w:leader="none"/>
        </w:tabs>
        <w:rPr>
          <w:sz w:val="24"/>
        </w:rPr>
      </w:pPr>
      <w:r>
        <w:rPr>
          <w:sz w:val="24"/>
        </w:rPr>
        <w:t>Director of Community Develoment</w:t>
      </w:r>
    </w:p>
    <w:p>
      <w:pPr>
        <w:pStyle w:val="Normal"/>
        <w:tabs>
          <w:tab w:val="clear" w:pos="720"/>
          <w:tab w:val="left" w:pos="3600" w:leader="none"/>
          <w:tab w:val="left" w:pos="5040" w:leader="none"/>
        </w:tabs>
        <w:rPr>
          <w:sz w:val="24"/>
        </w:rPr>
      </w:pPr>
      <w:r>
        <w:rPr>
          <w:sz w:val="24"/>
        </w:rPr>
        <w:t>Enron Corp.</w:t>
      </w:r>
    </w:p>
    <w:p>
      <w:pPr>
        <w:pStyle w:val="Normal"/>
        <w:tabs>
          <w:tab w:val="clear" w:pos="720"/>
          <w:tab w:val="left" w:pos="3600" w:leader="none"/>
          <w:tab w:val="left" w:pos="5040" w:leader="none"/>
        </w:tabs>
        <w:rPr>
          <w:sz w:val="24"/>
        </w:rPr>
      </w:pPr>
      <w:r>
        <w:rPr>
          <w:sz w:val="24"/>
        </w:rPr>
        <w:t>Suite 4354</w:t>
      </w:r>
    </w:p>
    <w:p>
      <w:pPr>
        <w:pStyle w:val="Normal"/>
        <w:tabs>
          <w:tab w:val="clear" w:pos="720"/>
          <w:tab w:val="left" w:pos="3600" w:leader="none"/>
          <w:tab w:val="left" w:pos="5040" w:leader="none"/>
        </w:tabs>
        <w:rPr>
          <w:sz w:val="24"/>
        </w:rPr>
      </w:pPr>
      <w:r>
        <w:rPr>
          <w:sz w:val="24"/>
        </w:rPr>
        <w:t>1400 Smith Street</w:t>
      </w:r>
    </w:p>
    <w:p>
      <w:pPr>
        <w:pStyle w:val="Normal"/>
        <w:tabs>
          <w:tab w:val="clear" w:pos="720"/>
          <w:tab w:val="left" w:pos="3600" w:leader="none"/>
          <w:tab w:val="left" w:pos="5040" w:leader="none"/>
        </w:tabs>
        <w:rPr>
          <w:sz w:val="24"/>
        </w:rPr>
      </w:pPr>
      <w:r>
        <w:rPr>
          <w:sz w:val="24"/>
        </w:rPr>
        <w:t>Houston, TX 77002</w:t>
      </w:r>
    </w:p>
    <w:p>
      <w:pPr>
        <w:pStyle w:val="Normal"/>
        <w:tabs>
          <w:tab w:val="clear" w:pos="720"/>
          <w:tab w:val="left" w:pos="3600" w:leader="none"/>
          <w:tab w:val="left" w:pos="5040" w:leader="none"/>
        </w:tabs>
        <w:rPr>
          <w:sz w:val="24"/>
        </w:rPr>
      </w:pPr>
      <w:r>
        <w:rPr>
          <w:sz w:val="24"/>
        </w:rPr>
      </w:r>
    </w:p>
    <w:p>
      <w:pPr>
        <w:pStyle w:val="Normal"/>
        <w:tabs>
          <w:tab w:val="clear" w:pos="720"/>
          <w:tab w:val="left" w:pos="3600" w:leader="none"/>
          <w:tab w:val="left" w:pos="5040" w:leader="none"/>
        </w:tabs>
        <w:rPr>
          <w:sz w:val="24"/>
        </w:rPr>
      </w:pPr>
      <w:r>
        <w:rPr>
          <w:sz w:val="24"/>
        </w:rPr>
        <w:t>Dear Ms. Kalmans:</w:t>
      </w:r>
    </w:p>
    <w:p>
      <w:pPr>
        <w:pStyle w:val="Normal"/>
        <w:tabs>
          <w:tab w:val="left" w:pos="720" w:leader="none"/>
          <w:tab w:val="left" w:pos="3600" w:leader="none"/>
          <w:tab w:val="left" w:pos="5040" w:leader="none"/>
        </w:tabs>
        <w:rPr>
          <w:sz w:val="24"/>
        </w:rPr>
      </w:pPr>
      <w:r>
        <w:rPr>
          <w:sz w:val="24"/>
        </w:rPr>
        <w:tab/>
      </w:r>
    </w:p>
    <w:p>
      <w:pPr>
        <w:pStyle w:val="Normal"/>
        <w:ind w:firstLine="720" w:end="0"/>
        <w:rPr>
          <w:color w:val="000000"/>
          <w:sz w:val="24"/>
          <w:lang w:eastAsia="en-US"/>
        </w:rPr>
      </w:pPr>
      <w:r>
        <w:rPr>
          <w:color w:val="000000"/>
          <w:sz w:val="24"/>
          <w:lang w:eastAsia="en-US"/>
        </w:rPr>
        <w:t xml:space="preserve">I am writing to ask if you would grant a meeting to Professor William R. Moomaw of the International Environment and Resource Policy program to discuss a strategic relationship with Enron in support of Enron’s philanthropic and business objectives and our mission.  In 1991 Fletcher established the International Environment and Resource Policy program to focus on the link between industry and the environment, with a major emphasis on translating the scientific basis for environmental concern and resource management into policies, techniques and strategies.  Many Fletcher alumni now work in the energy sector such firms as Exxon, Shell, and British Petroleum, and Enron has hired six Fletcher alumni in the last three years. </w:t>
      </w:r>
    </w:p>
    <w:p>
      <w:pPr>
        <w:pStyle w:val="Normal"/>
        <w:ind w:hanging="630" w:start="720" w:end="0"/>
        <w:rPr>
          <w:color w:val="000000"/>
          <w:sz w:val="24"/>
          <w:lang w:eastAsia="en-US"/>
        </w:rPr>
      </w:pPr>
      <w:r>
        <w:rPr>
          <w:color w:val="000000"/>
          <w:sz w:val="24"/>
          <w:lang w:eastAsia="en-US"/>
        </w:rPr>
      </w:r>
    </w:p>
    <w:p>
      <w:pPr>
        <w:pStyle w:val="Normal"/>
        <w:ind w:firstLine="720" w:end="0"/>
        <w:rPr>
          <w:color w:val="000000"/>
          <w:sz w:val="24"/>
          <w:lang w:eastAsia="en-US"/>
        </w:rPr>
      </w:pPr>
      <w:r>
        <w:rPr>
          <w:color w:val="000000"/>
          <w:sz w:val="24"/>
          <w:lang w:eastAsia="en-US"/>
        </w:rPr>
        <w:t xml:space="preserve">The International Environment and Resource Policy program seeks, through its curriculum and outreach activities, to incorporate multinational corporations in the search for strategic and sustainable solutions to energy, resource, and environmental issues.  The program makes its greatest contribution at the intersection of environmental science, technology, economics and international resource management policy.  The underlying philosophy of the International Environment and Resource Policy program maintains that questions of international environment and resource cannot be studied in isolation, but are integrally tied to economic development, international legal regimes, and domestic politics.  </w:t>
      </w:r>
    </w:p>
    <w:p>
      <w:pPr>
        <w:pStyle w:val="Normal"/>
        <w:ind w:firstLine="720" w:end="0"/>
        <w:rPr>
          <w:color w:val="000000"/>
          <w:sz w:val="24"/>
          <w:lang w:eastAsia="en-US"/>
        </w:rPr>
      </w:pPr>
      <w:r>
        <w:rPr>
          <w:color w:val="000000"/>
          <w:sz w:val="24"/>
          <w:lang w:eastAsia="en-US"/>
        </w:rPr>
      </w:r>
    </w:p>
    <w:p>
      <w:pPr>
        <w:pStyle w:val="Normal"/>
        <w:tabs>
          <w:tab w:val="left" w:pos="720" w:leader="none"/>
          <w:tab w:val="left" w:pos="3600" w:leader="none"/>
          <w:tab w:val="left" w:pos="5040" w:leader="none"/>
        </w:tabs>
        <w:rPr>
          <w:color w:val="000000"/>
          <w:sz w:val="24"/>
          <w:lang w:eastAsia="en-US"/>
        </w:rPr>
      </w:pPr>
      <w:r>
        <w:rPr>
          <w:color w:val="000000"/>
          <w:sz w:val="24"/>
          <w:lang w:eastAsia="en-US"/>
        </w:rPr>
        <w:tab/>
        <w:t xml:space="preserve">Fletcher currently has a comparative advantage in the environmental field among top tier policy schools for several reasons. The environmental field is, by its nature, highly interdisciplinary, and Fletcher values this kind of scholarship.  Fletcher’s graduates such as U.S. Energy Secretary Bill Richardson have equipped themselves with the Fletcher training to take on the challenges energy and resource management have presented.  Fletcher is unique because it teaches about the environment with a global perspective and at a program that has always had globalism as its core discipline.  </w:t>
      </w:r>
    </w:p>
    <w:p>
      <w:pPr>
        <w:pStyle w:val="Normal"/>
        <w:tabs>
          <w:tab w:val="left" w:pos="720" w:leader="none"/>
          <w:tab w:val="left" w:pos="3600" w:leader="none"/>
          <w:tab w:val="left" w:pos="5040" w:leader="none"/>
        </w:tabs>
        <w:rPr>
          <w:color w:val="000000"/>
          <w:sz w:val="24"/>
          <w:lang w:eastAsia="en-US"/>
        </w:rPr>
      </w:pPr>
      <w:r>
        <w:rPr>
          <w:color w:val="000000"/>
          <w:sz w:val="24"/>
          <w:lang w:eastAsia="en-US"/>
        </w:rPr>
      </w:r>
    </w:p>
    <w:p>
      <w:pPr>
        <w:pStyle w:val="Normal"/>
        <w:tabs>
          <w:tab w:val="left" w:pos="720" w:leader="none"/>
          <w:tab w:val="left" w:pos="3600" w:leader="none"/>
        </w:tabs>
        <w:rPr>
          <w:sz w:val="24"/>
        </w:rPr>
      </w:pPr>
      <w:r>
        <w:rPr>
          <w:sz w:val="24"/>
        </w:rPr>
        <w:tab/>
        <w:t xml:space="preserve">Enron is known as a leader among energy businesses, and as such has many natural synergies with the Fletcher School’s </w:t>
      </w:r>
      <w:r>
        <w:rPr>
          <w:color w:val="000000"/>
          <w:sz w:val="24"/>
          <w:lang w:eastAsia="en-US"/>
        </w:rPr>
        <w:t>International Environment and Resource Policy program.  Thank you for considering my request for a meeting where Professor Moomaw is prepared to discuss this further.  I look forward to hearing from you.</w:t>
      </w:r>
    </w:p>
    <w:p>
      <w:pPr>
        <w:pStyle w:val="Normal"/>
        <w:tabs>
          <w:tab w:val="left" w:pos="720" w:leader="none"/>
          <w:tab w:val="left" w:pos="3600" w:leader="none"/>
        </w:tabs>
        <w:rPr>
          <w:sz w:val="24"/>
        </w:rPr>
      </w:pPr>
      <w:r>
        <w:rPr>
          <w:sz w:val="24"/>
        </w:rPr>
      </w:r>
    </w:p>
    <w:p>
      <w:pPr>
        <w:pStyle w:val="Normal"/>
        <w:tabs>
          <w:tab w:val="clear" w:pos="720"/>
          <w:tab w:val="left" w:pos="5040" w:leader="none"/>
        </w:tabs>
        <w:rPr>
          <w:sz w:val="24"/>
        </w:rPr>
      </w:pPr>
      <w:r>
        <w:rPr>
          <w:sz w:val="24"/>
        </w:rPr>
        <w:tab/>
        <w:t>Sincerely,</w:t>
      </w:r>
    </w:p>
    <w:p>
      <w:pPr>
        <w:pStyle w:val="Normal"/>
        <w:tabs>
          <w:tab w:val="clear" w:pos="720"/>
          <w:tab w:val="left" w:pos="5040" w:leader="none"/>
        </w:tabs>
        <w:rPr>
          <w:sz w:val="24"/>
        </w:rPr>
      </w:pPr>
      <w:r>
        <w:rPr>
          <w:sz w:val="24"/>
        </w:rPr>
      </w:r>
    </w:p>
    <w:p>
      <w:pPr>
        <w:pStyle w:val="Normal"/>
        <w:tabs>
          <w:tab w:val="clear" w:pos="720"/>
          <w:tab w:val="left" w:pos="5040" w:leader="none"/>
        </w:tabs>
        <w:rPr>
          <w:sz w:val="24"/>
        </w:rPr>
      </w:pPr>
      <w:r>
        <w:rPr>
          <w:sz w:val="24"/>
        </w:rPr>
      </w:r>
    </w:p>
    <w:p>
      <w:pPr>
        <w:pStyle w:val="Normal"/>
        <w:tabs>
          <w:tab w:val="clear" w:pos="720"/>
          <w:tab w:val="left" w:pos="5040" w:leader="none"/>
        </w:tabs>
        <w:rPr>
          <w:sz w:val="24"/>
        </w:rPr>
      </w:pPr>
      <w:r>
        <w:rPr>
          <w:sz w:val="24"/>
        </w:rPr>
      </w:r>
    </w:p>
    <w:p>
      <w:pPr>
        <w:pStyle w:val="Normal"/>
        <w:tabs>
          <w:tab w:val="clear" w:pos="720"/>
          <w:tab w:val="left" w:pos="5040" w:leader="none"/>
        </w:tabs>
        <w:rPr>
          <w:sz w:val="24"/>
        </w:rPr>
      </w:pPr>
      <w:r>
        <w:rPr>
          <w:sz w:val="24"/>
        </w:rPr>
        <w:tab/>
        <w:t>John R. Galvin</w:t>
      </w:r>
    </w:p>
    <w:p>
      <w:pPr>
        <w:pStyle w:val="Normal"/>
        <w:tabs>
          <w:tab w:val="clear" w:pos="720"/>
          <w:tab w:val="left" w:pos="5040" w:leader="none"/>
        </w:tabs>
        <w:rPr/>
      </w:pPr>
      <w:r>
        <w:rPr>
          <w:sz w:val="24"/>
        </w:rPr>
        <w:tab/>
        <w:t xml:space="preserve">Dean </w:t>
      </w:r>
      <w:r>
        <w:rPr>
          <w:i/>
          <w:sz w:val="24"/>
        </w:rPr>
        <w:t xml:space="preserve">and holder of the </w:t>
      </w:r>
    </w:p>
    <w:p>
      <w:pPr>
        <w:pStyle w:val="Normal"/>
        <w:tabs>
          <w:tab w:val="clear" w:pos="720"/>
          <w:tab w:val="left" w:pos="5040" w:leader="none"/>
        </w:tabs>
        <w:rPr>
          <w:sz w:val="24"/>
        </w:rPr>
      </w:pPr>
      <w:r>
        <w:rPr>
          <w:sz w:val="24"/>
        </w:rPr>
        <w:tab/>
        <w:t>Charles F. Adams/Raytheon Chair</w:t>
      </w:r>
    </w:p>
    <w:sectPr>
      <w:type w:val="nextPage"/>
      <w:pgSz w:w="12240" w:h="15840"/>
      <w:pgMar w:left="1152" w:right="1152"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0" w:leader="none"/>
      </w:tabs>
      <w:outlineLvl w:val="0"/>
    </w:pPr>
    <w:rPr>
      <w:rFonts w:ascii="Garamond" w:hAnsi="Garamond" w:cs="Garamond"/>
      <w:sz w:val="24"/>
    </w:rPr>
  </w:style>
  <w:style w:type="paragraph" w:styleId="Heading2">
    <w:name w:val="heading 2"/>
    <w:basedOn w:val="Normal"/>
    <w:next w:val="Normal"/>
    <w:qFormat/>
    <w:pPr>
      <w:keepNext w:val="true"/>
      <w:numPr>
        <w:ilvl w:val="1"/>
        <w:numId w:val="1"/>
      </w:numPr>
      <w:tabs>
        <w:tab w:val="clear" w:pos="720"/>
        <w:tab w:val="left" w:pos="3600" w:leader="none"/>
      </w:tabs>
      <w:outlineLvl w:val="1"/>
    </w:pPr>
    <w:rPr>
      <w:i/>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360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2000-02-08T12:46:00Z</dcterms:created>
  <dc:creator>Laura Karch</dc:creator>
  <dc:description/>
  <dc:language>en-CA</dc:language>
  <cp:lastModifiedBy>Laura Karch</cp:lastModifiedBy>
  <cp:lastPrinted>2000-01-25T12:33:00Z</cp:lastPrinted>
  <dcterms:modified xsi:type="dcterms:W3CDTF">2000-09-05T13:18:00Z</dcterms:modified>
  <cp:revision>4</cp:revision>
  <dc:subject/>
  <dc:title/>
</cp:coreProperties>
</file>