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mallCaps/>
        </w:rPr>
      </w:pPr>
      <w:r>
        <w:rPr>
          <w:smallCaps/>
        </w:rPr>
      </w:r>
    </w:p>
    <w:p>
      <w:pPr>
        <w:pStyle w:val="Heading"/>
        <w:jc w:val="end"/>
        <w:rPr>
          <w:smallCaps/>
        </w:rPr>
      </w:pPr>
      <w:r>
        <w:rPr>
          <w:smallCaps/>
        </w:rPr>
      </w:r>
    </w:p>
    <w:p>
      <w:pPr>
        <w:pStyle w:val="BodyText"/>
        <w:jc w:val="end"/>
        <w:rPr>
          <w:rFonts w:ascii="Arial Black" w:hAnsi="Arial Black" w:cs="Arial Black"/>
          <w:sz w:val="36"/>
        </w:rPr>
      </w:pPr>
      <w:r>
        <w:rPr>
          <w:rFonts w:cs="Arial Black" w:ascii="Arial Black" w:hAnsi="Arial Black"/>
          <w:sz w:val="36"/>
        </w:rPr>
        <w:t>Exhibit A</w:t>
      </w:r>
    </w:p>
    <w:p>
      <w:pPr>
        <w:pStyle w:val="Subtitle"/>
        <w:rPr/>
      </w:pPr>
      <w:r>
        <w:rPr/>
        <w:t>Statement of Work</w:t>
      </w:r>
    </w:p>
    <w:p>
      <w:pPr>
        <w:pStyle w:val="Heading"/>
        <w:jc w:val="end"/>
        <w:rPr/>
      </w:pPr>
      <w:r>
        <w:rPr/>
      </w:r>
    </w:p>
    <w:p>
      <w:pPr>
        <w:pStyle w:val="Normal"/>
        <w:jc w:val="end"/>
        <w:rPr>
          <w:rFonts w:ascii="Arial Black" w:hAnsi="Arial Black" w:cs="Arial Black"/>
          <w:sz w:val="36"/>
        </w:rPr>
      </w:pPr>
      <w:r>
        <w:rPr>
          <w:rFonts w:cs="Arial Black" w:ascii="Arial Black" w:hAnsi="Arial Black"/>
          <w:sz w:val="36"/>
        </w:rPr>
        <w:t xml:space="preserve">Implementation and Maintenance for </w:t>
      </w:r>
    </w:p>
    <w:p>
      <w:pPr>
        <w:pStyle w:val="Normal"/>
        <w:jc w:val="end"/>
        <w:rPr>
          <w:rFonts w:ascii="Arial Black" w:hAnsi="Arial Black" w:cs="Arial Black"/>
          <w:sz w:val="36"/>
        </w:rPr>
      </w:pPr>
      <w:r>
        <w:rPr>
          <w:rFonts w:cs="Arial Black" w:ascii="Arial Black" w:hAnsi="Arial Black"/>
          <w:sz w:val="36"/>
        </w:rPr>
        <w:t xml:space="preserve">Enron Corp. Volume Management System </w:t>
      </w:r>
    </w:p>
    <w:p>
      <w:pPr>
        <w:pStyle w:val="Heading"/>
        <w:jc w:val="end"/>
        <w:rPr/>
      </w:pPr>
      <w:r>
        <w:rPr/>
      </w:r>
    </w:p>
    <w:p>
      <w:pPr>
        <w:pStyle w:val="Normal"/>
        <w:jc w:val="center"/>
        <w:rPr>
          <w:rFonts w:ascii="Arial" w:hAnsi="Arial" w:cs="Arial"/>
          <w:sz w:val="40"/>
        </w:rPr>
      </w:pPr>
      <w:r>
        <w:rPr>
          <w:rFonts w:cs="Arial" w:ascii="Arial" w:hAnsi="Arial"/>
          <w:sz w:val="40"/>
        </w:rPr>
      </w:r>
    </w:p>
    <w:p>
      <w:pPr>
        <w:pStyle w:val="Normal"/>
        <w:jc w:val="center"/>
        <w:rPr>
          <w:rFonts w:ascii="Arial" w:hAnsi="Arial" w:cs="Arial"/>
          <w:sz w:val="40"/>
        </w:rPr>
      </w:pPr>
      <w:r>
        <w:rPr>
          <w:rFonts w:cs="Arial" w:ascii="Arial" w:hAnsi="Arial"/>
          <w:sz w:val="40"/>
        </w:rPr>
      </w:r>
    </w:p>
    <w:p>
      <w:pPr>
        <w:pStyle w:val="Normal"/>
        <w:jc w:val="end"/>
        <w:rPr>
          <w:rFonts w:ascii="Arial" w:hAnsi="Arial" w:cs="Arial"/>
          <w:sz w:val="24"/>
        </w:rPr>
      </w:pPr>
      <w:r>
        <w:rPr>
          <w:rFonts w:cs="Arial" w:ascii="Arial" w:hAnsi="Arial"/>
          <w:sz w:val="24"/>
        </w:rPr>
      </w:r>
    </w:p>
    <w:p>
      <w:pPr>
        <w:pStyle w:val="Heading4"/>
        <w:ind w:hanging="0" w:start="0"/>
        <w:rPr>
          <w:sz w:val="24"/>
        </w:rPr>
      </w:pPr>
      <w:r>
        <w:rPr>
          <w:sz w:val="24"/>
        </w:rPr>
        <w:t>June, 2001</w:t>
      </w:r>
      <w:r>
        <w:br w:type="page"/>
      </w:r>
    </w:p>
    <w:p>
      <w:pPr>
        <w:pStyle w:val="Heading4"/>
        <w:ind w:hanging="0" w:start="0"/>
        <w:rPr>
          <w:sz w:val="24"/>
        </w:rPr>
      </w:pPr>
      <w:r>
        <w:rPr>
          <w:sz w:val="24"/>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r>
    </w:p>
    <w:p>
      <w:pPr>
        <w:pStyle w:val="Heading5"/>
        <w:ind w:hanging="0" w:start="0"/>
        <w:rPr/>
      </w:pPr>
      <w:r>
        <w:rPr/>
        <w:t>Proprietary Notice</w:t>
      </w:r>
    </w:p>
    <w:p>
      <w:pPr>
        <w:pStyle w:val="Heading4"/>
        <w:ind w:hanging="0" w:start="0"/>
        <w:rPr>
          <w:rFonts w:ascii="Times New Roman" w:hAnsi="Times New Roman" w:cs="Times New Roman"/>
        </w:rPr>
      </w:pPr>
      <w:r>
        <w:rPr>
          <w:rFonts w:cs="Times New Roman" w:ascii="Times New Roman" w:hAnsi="Times New Roman"/>
        </w:rPr>
        <w:t>Razorfish Confidential</w:t>
      </w:r>
    </w:p>
    <w:p>
      <w:pPr>
        <w:pStyle w:val="Heading5"/>
        <w:ind w:hanging="0" w:start="0"/>
        <w:rPr/>
      </w:pPr>
      <w:r>
        <w:rPr/>
        <w:t>Restriction on user and Disclosure and Quotation Information Data</w:t>
      </w:r>
    </w:p>
    <w:p>
      <w:pPr>
        <w:pStyle w:val="BodyText"/>
        <w:rPr/>
      </w:pPr>
      <w:r>
        <w:rPr/>
        <w:t xml:space="preserve">The information (data) contained in all sheets of this proposal or quotation constitutes a trade secret and/or information that is commercial or financial and confidential or privileged. It is furnished to Enron Corp., in confidence with the understanding that it will not, without the permission of Razorfish Incorporated (hereinafter </w:t>
      </w:r>
      <w:r>
        <w:rPr>
          <w:i/>
        </w:rPr>
        <w:t>Razorfish</w:t>
      </w:r>
      <w:r>
        <w:rPr/>
        <w:t>), be used or disclosed for other than evaluation purposes; provided, however that in the event a contract is awarded on the basis of this proposal or quotation, Enron Corp. shall have the right to use and disclose this information (data) to the extent provided in the contract. This restriction does not limit Enron Corp. right to use or disclose this information (data) if obtained from another source without restriction.</w:t>
      </w:r>
    </w:p>
    <w:sdt>
      <w:sdtPr>
        <w:docPartObj>
          <w:docPartGallery w:val="Table of Contents"/>
          <w:docPartUnique w:val="true"/>
        </w:docPartObj>
      </w:sdtPr>
      <w:sdtContent>
        <w:p>
          <w:pPr>
            <w:pStyle w:val="Normal"/>
            <w:jc w:val="both"/>
            <w:rPr>
              <w:lang w:val="en-CA" w:eastAsia="en-CA"/>
            </w:rPr>
          </w:pPr>
          <w:r>
            <w:br w:type="page"/>
          </w:r>
          <w:r>
            <w:fldChar w:fldCharType="begin"/>
          </w:r>
          <w:r>
            <w:rPr>
              <w:lang w:val="en-CA" w:eastAsia="en-CA"/>
            </w:rPr>
            <w:instrText xml:space="preserve"> TOC \o "1-3" \h \z </w:instrText>
          </w:r>
          <w:r>
            <w:rPr>
              <w:lang w:val="en-CA" w:eastAsia="en-CA"/>
            </w:rPr>
            <w:fldChar w:fldCharType="separate"/>
          </w:r>
          <w:r>
            <w:rPr>
              <w:lang w:val="en-CA" w:eastAsia="en-CA"/>
            </w:rPr>
          </w:r>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2">
            <w:r>
              <w:rPr>
                <w:rStyle w:val="IndexLink"/>
                <w:szCs w:val="32"/>
                <w:lang w:val="en-CA" w:eastAsia="en-CA"/>
              </w:rPr>
              <w:t>1.</w:t>
            </w:r>
            <w:r>
              <w:rPr>
                <w:rStyle w:val="IndexLink"/>
                <w:b w:val="false"/>
                <w:caps w:val="false"/>
                <w:smallCaps w:val="false"/>
                <w:sz w:val="24"/>
                <w:szCs w:val="24"/>
                <w:lang w:val="en-CA" w:eastAsia="en-CA"/>
              </w:rPr>
              <w:tab/>
            </w:r>
            <w:r>
              <w:rPr>
                <w:rStyle w:val="IndexLink"/>
                <w:szCs w:val="32"/>
                <w:lang w:val="en-CA" w:eastAsia="en-CA"/>
              </w:rPr>
              <w:t>Introduction</w:t>
            </w:r>
            <w:r>
              <w:rPr>
                <w:rStyle w:val="IndexLink"/>
                <w:lang w:val="en-CA" w:eastAsia="en-CA"/>
              </w:rPr>
              <w:tab/>
              <w:t>4</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3">
            <w:r>
              <w:rPr>
                <w:rStyle w:val="IndexLink"/>
                <w:szCs w:val="32"/>
                <w:lang w:val="en-CA" w:eastAsia="en-CA"/>
              </w:rPr>
              <w:t>2.</w:t>
            </w:r>
            <w:r>
              <w:rPr>
                <w:rStyle w:val="IndexLink"/>
                <w:b w:val="false"/>
                <w:caps w:val="false"/>
                <w:smallCaps w:val="false"/>
                <w:sz w:val="24"/>
                <w:szCs w:val="24"/>
                <w:lang w:val="en-CA" w:eastAsia="en-CA"/>
              </w:rPr>
              <w:tab/>
            </w:r>
            <w:r>
              <w:rPr>
                <w:rStyle w:val="IndexLink"/>
                <w:szCs w:val="32"/>
                <w:lang w:val="en-CA" w:eastAsia="en-CA"/>
              </w:rPr>
              <w:t>VMS Implementation Support and Application Expansion</w:t>
            </w:r>
            <w:r>
              <w:rPr>
                <w:rStyle w:val="IndexLink"/>
                <w:lang w:val="en-CA" w:eastAsia="en-CA"/>
              </w:rPr>
              <w:tab/>
              <w:t>5</w:t>
            </w:r>
          </w:hyperlink>
        </w:p>
        <w:p>
          <w:pPr>
            <w:pStyle w:val="TOC2"/>
            <w:tabs>
              <w:tab w:val="clear" w:pos="720"/>
              <w:tab w:val="right" w:pos="11150" w:leader="dot"/>
            </w:tabs>
            <w:rPr>
              <w:caps w:val="false"/>
              <w:smallCaps w:val="false"/>
              <w:sz w:val="24"/>
              <w:szCs w:val="24"/>
              <w:lang w:val="en-CA" w:eastAsia="en-CA"/>
            </w:rPr>
          </w:pPr>
          <w:hyperlink w:anchor="__RefHeading___Toc501341694">
            <w:r>
              <w:rPr>
                <w:rStyle w:val="IndexLink"/>
                <w:szCs w:val="28"/>
                <w:lang w:val="en-CA" w:eastAsia="en-CA"/>
              </w:rPr>
              <w:t>Phase I Scope of Work</w:t>
            </w:r>
            <w:r>
              <w:rPr>
                <w:rStyle w:val="IndexLink"/>
                <w:lang w:val="en-CA" w:eastAsia="en-CA"/>
              </w:rPr>
              <w:tab/>
              <w:t>5</w:t>
            </w:r>
          </w:hyperlink>
        </w:p>
        <w:p>
          <w:pPr>
            <w:pStyle w:val="TOC2"/>
            <w:tabs>
              <w:tab w:val="clear" w:pos="720"/>
              <w:tab w:val="right" w:pos="11150" w:leader="dot"/>
            </w:tabs>
            <w:rPr>
              <w:caps w:val="false"/>
              <w:smallCaps w:val="false"/>
              <w:sz w:val="24"/>
              <w:szCs w:val="24"/>
              <w:lang w:val="en-CA" w:eastAsia="en-CA"/>
            </w:rPr>
          </w:pPr>
          <w:hyperlink w:anchor="__RefHeading___Toc501341695">
            <w:r>
              <w:rPr>
                <w:rStyle w:val="IndexLink"/>
                <w:szCs w:val="28"/>
                <w:lang w:val="en-CA" w:eastAsia="en-CA"/>
              </w:rPr>
              <w:t>Process</w:t>
            </w:r>
            <w:r>
              <w:rPr>
                <w:rStyle w:val="IndexLink"/>
                <w:lang w:val="en-CA" w:eastAsia="en-CA"/>
              </w:rPr>
              <w:tab/>
              <w:t>5</w:t>
            </w:r>
          </w:hyperlink>
        </w:p>
        <w:p>
          <w:pPr>
            <w:pStyle w:val="TOC3"/>
            <w:tabs>
              <w:tab w:val="clear" w:pos="720"/>
              <w:tab w:val="right" w:pos="11150" w:leader="dot"/>
            </w:tabs>
            <w:rPr>
              <w:i w:val="false"/>
              <w:i w:val="false"/>
              <w:sz w:val="24"/>
              <w:szCs w:val="24"/>
              <w:lang w:val="en-CA" w:eastAsia="en-CA"/>
            </w:rPr>
          </w:pPr>
          <w:hyperlink w:anchor="__RefHeading___Toc501341696">
            <w:r>
              <w:rPr>
                <w:rStyle w:val="IndexLink"/>
                <w:lang w:val="en-CA" w:eastAsia="en-CA"/>
              </w:rPr>
              <w:t>Project Preparation</w:t>
              <w:tab/>
            </w:r>
            <w:r>
              <w:rPr>
                <w:rStyle w:val="IndexLink"/>
                <w:b/>
                <w:bCs/>
                <w:lang w:val="en-CA" w:eastAsia="en-CA"/>
              </w:rPr>
              <w:t>Error! Bookmark not defined.</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7">
            <w:r>
              <w:rPr>
                <w:rStyle w:val="IndexLink"/>
                <w:szCs w:val="32"/>
                <w:lang w:val="en-CA" w:eastAsia="en-CA"/>
              </w:rPr>
              <w:t>3.</w:t>
            </w:r>
            <w:r>
              <w:rPr>
                <w:rStyle w:val="IndexLink"/>
                <w:b w:val="false"/>
                <w:caps w:val="false"/>
                <w:smallCaps w:val="false"/>
                <w:sz w:val="24"/>
                <w:szCs w:val="24"/>
                <w:lang w:val="en-CA" w:eastAsia="en-CA"/>
              </w:rPr>
              <w:tab/>
            </w:r>
            <w:r>
              <w:rPr>
                <w:rStyle w:val="IndexLink"/>
                <w:szCs w:val="32"/>
                <w:lang w:val="en-CA" w:eastAsia="en-CA"/>
              </w:rPr>
              <w:t>Razorfish Responsibilities</w:t>
            </w:r>
            <w:r>
              <w:rPr>
                <w:rStyle w:val="IndexLink"/>
                <w:lang w:val="en-CA" w:eastAsia="en-CA"/>
              </w:rPr>
              <w:tab/>
              <w:t>7</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8">
            <w:r>
              <w:rPr>
                <w:rStyle w:val="IndexLink"/>
                <w:szCs w:val="32"/>
                <w:lang w:val="en-CA" w:eastAsia="en-CA"/>
              </w:rPr>
              <w:t>4.</w:t>
            </w:r>
            <w:r>
              <w:rPr>
                <w:rStyle w:val="IndexLink"/>
                <w:b w:val="false"/>
                <w:caps w:val="false"/>
                <w:smallCaps w:val="false"/>
                <w:sz w:val="24"/>
                <w:szCs w:val="24"/>
                <w:lang w:val="en-CA" w:eastAsia="en-CA"/>
              </w:rPr>
              <w:tab/>
            </w:r>
            <w:r>
              <w:rPr>
                <w:rStyle w:val="IndexLink"/>
                <w:szCs w:val="32"/>
                <w:lang w:val="en-CA" w:eastAsia="en-CA"/>
              </w:rPr>
              <w:t>Enron Corp. Responsibilities</w:t>
            </w:r>
            <w:r>
              <w:rPr>
                <w:rStyle w:val="IndexLink"/>
                <w:lang w:val="en-CA" w:eastAsia="en-CA"/>
              </w:rPr>
              <w:tab/>
              <w:t>7</w:t>
            </w:r>
          </w:hyperlink>
        </w:p>
        <w:p>
          <w:pPr>
            <w:pStyle w:val="TOC1"/>
            <w:tabs>
              <w:tab w:val="clear" w:pos="720"/>
              <w:tab w:val="left" w:pos="400" w:leader="none"/>
              <w:tab w:val="right" w:pos="11150" w:leader="dot"/>
            </w:tabs>
            <w:rPr>
              <w:b w:val="false"/>
              <w:caps w:val="false"/>
              <w:smallCaps w:val="false"/>
              <w:sz w:val="24"/>
              <w:szCs w:val="24"/>
              <w:lang w:val="en-CA" w:eastAsia="en-CA"/>
            </w:rPr>
          </w:pPr>
          <w:hyperlink w:anchor="__RefHeading___Toc501341699">
            <w:r>
              <w:rPr>
                <w:rStyle w:val="IndexLink"/>
                <w:szCs w:val="32"/>
                <w:lang w:val="en-CA" w:eastAsia="en-CA"/>
              </w:rPr>
              <w:t>5.</w:t>
            </w:r>
            <w:r>
              <w:rPr>
                <w:rStyle w:val="IndexLink"/>
                <w:b w:val="false"/>
                <w:caps w:val="false"/>
                <w:smallCaps w:val="false"/>
                <w:sz w:val="24"/>
                <w:szCs w:val="24"/>
                <w:lang w:val="en-CA" w:eastAsia="en-CA"/>
              </w:rPr>
              <w:tab/>
            </w:r>
            <w:r>
              <w:rPr>
                <w:rStyle w:val="IndexLink"/>
                <w:szCs w:val="32"/>
                <w:lang w:val="en-CA" w:eastAsia="en-CA"/>
              </w:rPr>
              <w:t>Project Fee and Payment Schedule</w:t>
            </w:r>
            <w:r>
              <w:rPr>
                <w:rStyle w:val="IndexLink"/>
                <w:lang w:val="en-CA" w:eastAsia="en-CA"/>
              </w:rPr>
              <w:tab/>
              <w:t>9</w:t>
            </w:r>
          </w:hyperlink>
        </w:p>
        <w:p>
          <w:pPr>
            <w:pStyle w:val="TOC1"/>
            <w:tabs>
              <w:tab w:val="clear" w:pos="720"/>
              <w:tab w:val="right" w:pos="11150" w:leader="dot"/>
            </w:tabs>
            <w:rPr>
              <w:b w:val="false"/>
              <w:caps w:val="false"/>
              <w:smallCaps w:val="false"/>
              <w:sz w:val="24"/>
              <w:szCs w:val="24"/>
              <w:lang w:val="en-CA" w:eastAsia="en-CA"/>
            </w:rPr>
          </w:pPr>
          <w:hyperlink w:anchor="__RefHeading___Toc501341700">
            <w:r>
              <w:rPr>
                <w:rStyle w:val="IndexLink"/>
                <w:szCs w:val="32"/>
                <w:lang w:val="en-CA" w:eastAsia="en-CA"/>
              </w:rPr>
              <w:t>Appendix A: Assumptions</w:t>
            </w:r>
            <w:r>
              <w:rPr>
                <w:rStyle w:val="IndexLink"/>
                <w:lang w:val="en-CA" w:eastAsia="en-CA"/>
              </w:rPr>
              <w:tab/>
              <w:t>10</w:t>
            </w:r>
          </w:hyperlink>
        </w:p>
        <w:p>
          <w:pPr>
            <w:pStyle w:val="TOC1"/>
            <w:tabs>
              <w:tab w:val="clear" w:pos="720"/>
              <w:tab w:val="right" w:pos="11150" w:leader="dot"/>
            </w:tabs>
            <w:rPr>
              <w:b w:val="false"/>
              <w:caps w:val="false"/>
              <w:smallCaps w:val="false"/>
              <w:sz w:val="24"/>
              <w:szCs w:val="24"/>
              <w:lang w:val="en-CA" w:eastAsia="en-CA"/>
            </w:rPr>
          </w:pPr>
          <w:hyperlink w:anchor="__RefHeading___Toc501341701">
            <w:r>
              <w:rPr>
                <w:rStyle w:val="IndexLink"/>
                <w:szCs w:val="32"/>
                <w:lang w:val="en-CA" w:eastAsia="en-CA"/>
              </w:rPr>
              <w:t>Appendix B: Change Order Process</w:t>
            </w:r>
            <w:r>
              <w:rPr>
                <w:rStyle w:val="IndexLink"/>
                <w:lang w:val="en-CA" w:eastAsia="en-CA"/>
              </w:rPr>
              <w:tab/>
              <w:t>11</w:t>
            </w:r>
          </w:hyperlink>
        </w:p>
        <w:p>
          <w:pPr>
            <w:pStyle w:val="TOC2"/>
            <w:tabs>
              <w:tab w:val="clear" w:pos="720"/>
              <w:tab w:val="right" w:pos="11150" w:leader="dot"/>
            </w:tabs>
            <w:rPr>
              <w:caps w:val="false"/>
              <w:smallCaps w:val="false"/>
              <w:sz w:val="24"/>
              <w:szCs w:val="24"/>
              <w:lang w:val="en-CA" w:eastAsia="en-CA"/>
            </w:rPr>
          </w:pPr>
          <w:hyperlink w:anchor="__RefHeading___Toc501341702">
            <w:r>
              <w:rPr>
                <w:rStyle w:val="IndexLink"/>
                <w:szCs w:val="28"/>
                <w:lang w:val="en-CA" w:eastAsia="en-CA"/>
              </w:rPr>
              <w:t>Overview</w:t>
            </w:r>
            <w:r>
              <w:rPr>
                <w:rStyle w:val="IndexLink"/>
                <w:lang w:val="en-CA" w:eastAsia="en-CA"/>
              </w:rPr>
              <w:tab/>
              <w:t>11</w:t>
            </w:r>
          </w:hyperlink>
        </w:p>
        <w:p>
          <w:pPr>
            <w:pStyle w:val="TOC2"/>
            <w:tabs>
              <w:tab w:val="clear" w:pos="720"/>
              <w:tab w:val="right" w:pos="11150" w:leader="dot"/>
            </w:tabs>
            <w:rPr>
              <w:sz w:val="24"/>
              <w:szCs w:val="24"/>
              <w:lang w:val="en-CA" w:eastAsia="en-CA"/>
            </w:rPr>
          </w:pPr>
          <w:hyperlink w:anchor="__RefHeading___Toc501341703">
            <w:r>
              <w:rPr>
                <w:rStyle w:val="IndexLink"/>
                <w:caps w:val="false"/>
                <w:smallCaps w:val="false"/>
                <w:szCs w:val="28"/>
                <w:lang w:val="en-CA" w:eastAsia="en-CA"/>
              </w:rPr>
              <w:t>Change Order Process</w:t>
            </w:r>
            <w:r>
              <w:rPr>
                <w:rStyle w:val="IndexLink"/>
                <w:caps w:val="false"/>
                <w:smallCaps w:val="false"/>
                <w:lang w:val="en-CA" w:eastAsia="en-CA"/>
              </w:rPr>
              <w:tab/>
              <w:t>11</w:t>
            </w:r>
          </w:hyperlink>
          <w:r>
            <w:rPr>
              <w:rStyle w:val="IndexLink"/>
              <w:smallCaps w:val="false"/>
              <w:caps w:val="false"/>
              <w:lang w:val="en-CA" w:eastAsia="en-CA"/>
            </w:rPr>
            <w:fldChar w:fldCharType="end"/>
          </w:r>
        </w:p>
      </w:sdtContent>
    </w:sdt>
    <w:p>
      <w:pPr>
        <w:pStyle w:val="Normal"/>
        <w:jc w:val="both"/>
        <w:rPr>
          <w:b/>
          <w:caps/>
          <w:sz w:val="24"/>
          <w:szCs w:val="24"/>
          <w:lang w:val="en-CA" w:eastAsia="en-CA"/>
        </w:rPr>
      </w:pPr>
      <w:r>
        <w:rPr>
          <w:b/>
          <w:caps/>
          <w:sz w:val="24"/>
          <w:szCs w:val="24"/>
          <w:lang w:val="en-CA" w:eastAsia="en-CA"/>
        </w:rPr>
      </w:r>
      <w:r>
        <w:br w:type="page"/>
      </w:r>
    </w:p>
    <w:p>
      <w:pPr>
        <w:pStyle w:val="Normal"/>
        <w:jc w:val="both"/>
        <w:rPr>
          <w:b/>
          <w:caps/>
        </w:rPr>
      </w:pPr>
      <w:r>
        <w:rPr>
          <w:b/>
          <w:caps/>
        </w:rPr>
      </w:r>
    </w:p>
    <w:p>
      <w:pPr>
        <w:pStyle w:val="Normal"/>
        <w:jc w:val="both"/>
        <w:rPr/>
      </w:pPr>
      <w:r>
        <w:rPr/>
      </w:r>
    </w:p>
    <w:p>
      <w:pPr>
        <w:pStyle w:val="Heading1"/>
        <w:numPr>
          <w:ilvl w:val="0"/>
          <w:numId w:val="8"/>
        </w:numPr>
        <w:rPr/>
      </w:pPr>
      <w:bookmarkStart w:id="0" w:name="__RefHeading___Toc501341692"/>
      <w:bookmarkEnd w:id="0"/>
      <w:r>
        <w:rPr/>
        <w:t>Introduction</w:t>
      </w:r>
    </w:p>
    <w:p>
      <w:pPr>
        <w:pStyle w:val="BodyText"/>
        <w:rPr/>
      </w:pPr>
      <w:r>
        <w:rPr/>
        <w:t xml:space="preserve">This Statement of Work (SOW) details Razorfish' approach for the support and maintenance services for Enron Corp.’s Volume Management System (hereinafter called VMS). This SOW includes all activities associated with the installation, testing and implementation of VMS as well as post implementation support.  </w:t>
      </w:r>
    </w:p>
    <w:p>
      <w:pPr>
        <w:pStyle w:val="BodyText"/>
        <w:rPr/>
      </w:pPr>
      <w:r>
        <w:rPr/>
        <w:t>The SOW is presented to Enron Corp. and is governed by the terms and conditions set forth in the Standard Services Agreement dated _________.</w:t>
      </w:r>
    </w:p>
    <w:p>
      <w:pPr>
        <w:pStyle w:val="BodyText"/>
        <w:rPr/>
      </w:pPr>
      <w:r>
        <w:rPr/>
        <w:t>Enron Corp. will be responsible for the day-to-day management of the core project team, consisting of Enron Corp. team members as well as Razorfish team members. Razorfish will be responsible for supporting Enron Corp. during implementation as well as post implementation of VMS as described under “Razorfish Responsibilities”. Enron Corp. will be responsible for all VMS activities as outlined in each work phase under “Enron Corp. Responsibilities”, as well as for all other responsibilities during the project that are not within Razorfish’ control.</w:t>
      </w:r>
    </w:p>
    <w:p>
      <w:pPr>
        <w:pStyle w:val="BodyText"/>
        <w:rPr/>
      </w:pPr>
      <w:r>
        <w:rPr/>
        <w:t xml:space="preserve">Project activities will be conducted at the Enron Corp. facilities in Portland, OR and Houston, TX as necessary and Razorfish team members will be available at those facilities during core hours for the project activities. Razorfish reserves the right to conduct in house activities for its team members at its own facilities in Los Angeles, CA as well as allow its team members to perform administrative and Razorfish related tasks at these facilities. All activities performed by the Razorfish team members at the Razorfish facilities in Los Angeles, CA will be scheduled in advance and with the full consent of the Enron Corp. and Razorfish Project Management team. </w:t>
      </w:r>
      <w:r>
        <w:br w:type="page"/>
      </w:r>
    </w:p>
    <w:p>
      <w:pPr>
        <w:pStyle w:val="BodyText"/>
        <w:rPr/>
      </w:pPr>
      <w:r>
        <w:rPr/>
      </w:r>
    </w:p>
    <w:p>
      <w:pPr>
        <w:pStyle w:val="Heading1"/>
        <w:numPr>
          <w:ilvl w:val="0"/>
          <w:numId w:val="8"/>
        </w:numPr>
        <w:spacing w:before="120" w:after="240"/>
        <w:rPr/>
      </w:pPr>
      <w:bookmarkStart w:id="1" w:name="__RefHeading___Toc501341693"/>
      <w:r>
        <w:rPr/>
        <w:t>VMS Implementation Support and Application Expansion</w:t>
      </w:r>
      <w:bookmarkEnd w:id="1"/>
      <w:r>
        <w:rPr/>
        <w:t xml:space="preserve"> </w:t>
      </w:r>
    </w:p>
    <w:p>
      <w:pPr>
        <w:pStyle w:val="Heading2"/>
        <w:ind w:hanging="0" w:start="0"/>
        <w:rPr/>
      </w:pPr>
      <w:bookmarkStart w:id="2" w:name="__RefHeading___Toc501341694"/>
      <w:bookmarkEnd w:id="2"/>
      <w:r>
        <w:rPr/>
        <w:t>Phase I Scope of Work</w:t>
      </w:r>
    </w:p>
    <w:p>
      <w:pPr>
        <w:pStyle w:val="listbulleted"/>
        <w:rPr/>
      </w:pPr>
      <w:r>
        <w:rPr/>
      </w:r>
    </w:p>
    <w:p>
      <w:pPr>
        <w:pStyle w:val="BodyText"/>
        <w:spacing w:before="0" w:after="0"/>
        <w:rPr/>
      </w:pPr>
      <w:r>
        <w:rPr/>
        <w:t xml:space="preserve">The scope of the Implementation Support and Application Expansion phase will include the work necessary to support the VMS implementation and maintenance for the California market and other markets as determined by Enron VMS Management. The implementation support will focus on the expanded system testing of the estimation/settlement process and system rollout support. In addition, Razorfish will assist Enron Corp. technology resources in the transition. The joint Enron Corp./Razorfish team will further refine this scope during the preparation weeks, with the intent to eliminate any unknowns and/or ambiguities between Enron Corp. and Razorfish. </w:t>
      </w:r>
    </w:p>
    <w:p>
      <w:pPr>
        <w:pStyle w:val="Normal"/>
        <w:rPr/>
      </w:pPr>
      <w:r>
        <w:rPr/>
      </w:r>
    </w:p>
    <w:p>
      <w:pPr>
        <w:pStyle w:val="Normal"/>
        <w:rPr/>
      </w:pPr>
      <w:r>
        <w:rPr/>
      </w:r>
    </w:p>
    <w:p>
      <w:pPr>
        <w:pStyle w:val="Heading2"/>
        <w:ind w:hanging="0" w:start="0"/>
        <w:rPr/>
      </w:pPr>
      <w:bookmarkStart w:id="3" w:name="__RefHeading___Toc501341695"/>
      <w:bookmarkEnd w:id="3"/>
      <w:r>
        <w:rPr/>
        <w:t>Process</w:t>
      </w:r>
    </w:p>
    <w:p>
      <w:pPr>
        <w:pStyle w:val="BodyText"/>
        <w:rPr/>
      </w:pPr>
      <w:r>
        <w:rPr/>
        <w:t>Enron Corp. and Razorfish will work together to define the implementation and maintenance schedules for the California and other markets during the initial phases of the project. A prioritized list of objectives, milestones and dependencies will be created and agreed upon by the Enron Corp. and Razorfish team.  The following list represents the areas of work to be included in the project plan.</w:t>
      </w:r>
    </w:p>
    <w:p>
      <w:pPr>
        <w:pStyle w:val="Normal"/>
        <w:rPr>
          <w:sz w:val="22"/>
        </w:rPr>
      </w:pPr>
      <w:r>
        <w:rPr>
          <w:sz w:val="22"/>
        </w:rPr>
      </w:r>
    </w:p>
    <w:p>
      <w:pPr>
        <w:pStyle w:val="Normal"/>
        <w:numPr>
          <w:ilvl w:val="0"/>
          <w:numId w:val="4"/>
        </w:numPr>
        <w:rPr>
          <w:sz w:val="22"/>
        </w:rPr>
      </w:pPr>
      <w:r>
        <w:rPr>
          <w:sz w:val="22"/>
        </w:rPr>
        <w:t>Expanded System Testing: Estimation/Settlement Process</w:t>
      </w:r>
    </w:p>
    <w:p>
      <w:pPr>
        <w:pStyle w:val="Normal"/>
        <w:numPr>
          <w:ilvl w:val="1"/>
          <w:numId w:val="4"/>
        </w:numPr>
        <w:rPr>
          <w:sz w:val="22"/>
        </w:rPr>
      </w:pPr>
      <w:r>
        <w:rPr>
          <w:sz w:val="22"/>
        </w:rPr>
        <w:t>All permutations of process</w:t>
      </w:r>
    </w:p>
    <w:p>
      <w:pPr>
        <w:pStyle w:val="Normal"/>
        <w:numPr>
          <w:ilvl w:val="1"/>
          <w:numId w:val="4"/>
        </w:numPr>
        <w:rPr>
          <w:sz w:val="22"/>
        </w:rPr>
      </w:pPr>
      <w:r>
        <w:rPr>
          <w:sz w:val="22"/>
        </w:rPr>
        <w:t>Emergency handling (rollbacks, offloading, DB restore)</w:t>
      </w:r>
    </w:p>
    <w:p>
      <w:pPr>
        <w:pStyle w:val="Normal"/>
        <w:numPr>
          <w:ilvl w:val="1"/>
          <w:numId w:val="4"/>
        </w:numPr>
        <w:rPr>
          <w:sz w:val="22"/>
        </w:rPr>
      </w:pPr>
      <w:r>
        <w:rPr>
          <w:sz w:val="22"/>
        </w:rPr>
        <w:t>Historical cases</w:t>
      </w:r>
    </w:p>
    <w:p>
      <w:pPr>
        <w:pStyle w:val="Normal"/>
        <w:numPr>
          <w:ilvl w:val="0"/>
          <w:numId w:val="4"/>
        </w:numPr>
        <w:rPr>
          <w:sz w:val="22"/>
        </w:rPr>
      </w:pPr>
      <w:r>
        <w:rPr>
          <w:sz w:val="22"/>
        </w:rPr>
        <w:t>Optimization / Scalability Testing</w:t>
      </w:r>
    </w:p>
    <w:p>
      <w:pPr>
        <w:pStyle w:val="Normal"/>
        <w:numPr>
          <w:ilvl w:val="1"/>
          <w:numId w:val="4"/>
        </w:numPr>
        <w:rPr>
          <w:sz w:val="22"/>
        </w:rPr>
      </w:pPr>
      <w:r>
        <w:rPr>
          <w:sz w:val="22"/>
        </w:rPr>
        <w:t>DB growth usage trends, table optimization</w:t>
      </w:r>
    </w:p>
    <w:p>
      <w:pPr>
        <w:pStyle w:val="Normal"/>
        <w:numPr>
          <w:ilvl w:val="1"/>
          <w:numId w:val="4"/>
        </w:numPr>
        <w:rPr>
          <w:sz w:val="22"/>
        </w:rPr>
      </w:pPr>
      <w:r>
        <w:rPr>
          <w:sz w:val="22"/>
        </w:rPr>
        <w:t xml:space="preserve">Resource leaks </w:t>
      </w:r>
    </w:p>
    <w:p>
      <w:pPr>
        <w:pStyle w:val="Normal"/>
        <w:numPr>
          <w:ilvl w:val="1"/>
          <w:numId w:val="4"/>
        </w:numPr>
        <w:rPr>
          <w:sz w:val="22"/>
        </w:rPr>
      </w:pPr>
      <w:r>
        <w:rPr>
          <w:sz w:val="22"/>
        </w:rPr>
        <w:t>Logic optimization</w:t>
      </w:r>
    </w:p>
    <w:p>
      <w:pPr>
        <w:pStyle w:val="Normal"/>
        <w:numPr>
          <w:ilvl w:val="0"/>
          <w:numId w:val="4"/>
        </w:numPr>
        <w:rPr>
          <w:sz w:val="22"/>
        </w:rPr>
      </w:pPr>
      <w:r>
        <w:rPr>
          <w:sz w:val="22"/>
        </w:rPr>
        <w:t>Data Archiving</w:t>
      </w:r>
    </w:p>
    <w:p>
      <w:pPr>
        <w:pStyle w:val="Normal"/>
        <w:numPr>
          <w:ilvl w:val="1"/>
          <w:numId w:val="4"/>
        </w:numPr>
        <w:rPr>
          <w:sz w:val="22"/>
        </w:rPr>
      </w:pPr>
      <w:r>
        <w:rPr>
          <w:sz w:val="22"/>
        </w:rPr>
        <w:t>Long-term storage planning</w:t>
      </w:r>
    </w:p>
    <w:p>
      <w:pPr>
        <w:pStyle w:val="Normal"/>
        <w:numPr>
          <w:ilvl w:val="1"/>
          <w:numId w:val="4"/>
        </w:numPr>
        <w:rPr>
          <w:sz w:val="22"/>
        </w:rPr>
      </w:pPr>
      <w:r>
        <w:rPr>
          <w:sz w:val="22"/>
        </w:rPr>
        <w:t>Data availability / retrieval process</w:t>
      </w:r>
    </w:p>
    <w:p>
      <w:pPr>
        <w:pStyle w:val="Normal"/>
        <w:numPr>
          <w:ilvl w:val="1"/>
          <w:numId w:val="4"/>
        </w:numPr>
        <w:rPr>
          <w:sz w:val="22"/>
        </w:rPr>
      </w:pPr>
      <w:r>
        <w:rPr>
          <w:sz w:val="22"/>
        </w:rPr>
        <w:t>Data Warehousing / Trend Analysis</w:t>
      </w:r>
    </w:p>
    <w:p>
      <w:pPr>
        <w:pStyle w:val="Normal"/>
        <w:numPr>
          <w:ilvl w:val="0"/>
          <w:numId w:val="4"/>
        </w:numPr>
        <w:rPr>
          <w:sz w:val="22"/>
        </w:rPr>
      </w:pPr>
      <w:r>
        <w:rPr>
          <w:sz w:val="22"/>
        </w:rPr>
        <w:t>Customer-focused Web Site</w:t>
      </w:r>
    </w:p>
    <w:p>
      <w:pPr>
        <w:pStyle w:val="Normal"/>
        <w:numPr>
          <w:ilvl w:val="1"/>
          <w:numId w:val="4"/>
        </w:numPr>
        <w:rPr>
          <w:sz w:val="22"/>
        </w:rPr>
      </w:pPr>
      <w:r>
        <w:rPr>
          <w:sz w:val="22"/>
        </w:rPr>
        <w:t>Reports / Queries</w:t>
      </w:r>
    </w:p>
    <w:p>
      <w:pPr>
        <w:pStyle w:val="Normal"/>
        <w:numPr>
          <w:ilvl w:val="1"/>
          <w:numId w:val="4"/>
        </w:numPr>
        <w:rPr>
          <w:sz w:val="22"/>
        </w:rPr>
      </w:pPr>
      <w:r>
        <w:rPr>
          <w:sz w:val="22"/>
        </w:rPr>
        <w:t>Information Architecture, Look/feel</w:t>
      </w:r>
    </w:p>
    <w:p>
      <w:pPr>
        <w:pStyle w:val="Normal"/>
        <w:numPr>
          <w:ilvl w:val="1"/>
          <w:numId w:val="4"/>
        </w:numPr>
        <w:rPr>
          <w:sz w:val="22"/>
        </w:rPr>
      </w:pPr>
      <w:r>
        <w:rPr>
          <w:sz w:val="22"/>
        </w:rPr>
        <w:t>Integration/relationship with other Enron Corp. sites</w:t>
      </w:r>
    </w:p>
    <w:p>
      <w:pPr>
        <w:pStyle w:val="Normal"/>
        <w:numPr>
          <w:ilvl w:val="0"/>
          <w:numId w:val="4"/>
        </w:numPr>
        <w:rPr>
          <w:sz w:val="22"/>
        </w:rPr>
      </w:pPr>
      <w:r>
        <w:rPr>
          <w:sz w:val="22"/>
        </w:rPr>
        <w:t>Enhancements</w:t>
      </w:r>
    </w:p>
    <w:p>
      <w:pPr>
        <w:pStyle w:val="Normal"/>
        <w:numPr>
          <w:ilvl w:val="1"/>
          <w:numId w:val="4"/>
        </w:numPr>
        <w:rPr>
          <w:sz w:val="22"/>
        </w:rPr>
      </w:pPr>
      <w:r>
        <w:rPr>
          <w:sz w:val="22"/>
        </w:rPr>
        <w:t>Complete Task automation (process control)</w:t>
      </w:r>
    </w:p>
    <w:p>
      <w:pPr>
        <w:pStyle w:val="Normal"/>
        <w:numPr>
          <w:ilvl w:val="1"/>
          <w:numId w:val="4"/>
        </w:numPr>
        <w:rPr>
          <w:sz w:val="22"/>
        </w:rPr>
      </w:pPr>
      <w:r>
        <w:rPr>
          <w:sz w:val="22"/>
        </w:rPr>
        <w:t>Expanded Reports (outside of core list identified)</w:t>
      </w:r>
    </w:p>
    <w:p>
      <w:pPr>
        <w:pStyle w:val="Normal"/>
        <w:numPr>
          <w:ilvl w:val="1"/>
          <w:numId w:val="4"/>
        </w:numPr>
        <w:rPr>
          <w:sz w:val="22"/>
        </w:rPr>
      </w:pPr>
      <w:r>
        <w:rPr>
          <w:sz w:val="22"/>
        </w:rPr>
        <w:t>Documentation (programming reference guide beyond code-based comments)</w:t>
      </w:r>
    </w:p>
    <w:p>
      <w:pPr>
        <w:pStyle w:val="Normal"/>
        <w:numPr>
          <w:ilvl w:val="1"/>
          <w:numId w:val="4"/>
        </w:numPr>
        <w:rPr>
          <w:sz w:val="22"/>
        </w:rPr>
      </w:pPr>
      <w:r>
        <w:rPr>
          <w:sz w:val="22"/>
        </w:rPr>
        <w:t>Expanded Component Query Capability</w:t>
      </w:r>
    </w:p>
    <w:p>
      <w:pPr>
        <w:pStyle w:val="Normal"/>
        <w:numPr>
          <w:ilvl w:val="1"/>
          <w:numId w:val="4"/>
        </w:numPr>
        <w:rPr>
          <w:sz w:val="22"/>
        </w:rPr>
      </w:pPr>
      <w:r>
        <w:rPr>
          <w:sz w:val="22"/>
        </w:rPr>
        <w:t xml:space="preserve">PCR support </w:t>
      </w:r>
    </w:p>
    <w:p>
      <w:pPr>
        <w:pStyle w:val="Normal"/>
        <w:numPr>
          <w:ilvl w:val="1"/>
          <w:numId w:val="4"/>
        </w:numPr>
        <w:rPr>
          <w:sz w:val="22"/>
        </w:rPr>
      </w:pPr>
      <w:r>
        <w:rPr>
          <w:sz w:val="22"/>
        </w:rPr>
        <w:t>Allocation Rules through engine logic</w:t>
      </w:r>
    </w:p>
    <w:p>
      <w:pPr>
        <w:pStyle w:val="Normal"/>
        <w:numPr>
          <w:ilvl w:val="1"/>
          <w:numId w:val="4"/>
        </w:numPr>
        <w:rPr>
          <w:sz w:val="22"/>
        </w:rPr>
      </w:pPr>
      <w:r>
        <w:rPr>
          <w:sz w:val="22"/>
        </w:rPr>
        <w:t>SE profile-level constants</w:t>
      </w:r>
    </w:p>
    <w:p>
      <w:pPr>
        <w:pStyle w:val="Normal"/>
        <w:numPr>
          <w:ilvl w:val="1"/>
          <w:numId w:val="4"/>
        </w:numPr>
        <w:rPr>
          <w:sz w:val="22"/>
        </w:rPr>
      </w:pPr>
      <w:r>
        <w:rPr>
          <w:sz w:val="22"/>
        </w:rPr>
        <w:t>Expanded equation syntax</w:t>
      </w:r>
    </w:p>
    <w:p>
      <w:pPr>
        <w:pStyle w:val="Normal"/>
        <w:numPr>
          <w:ilvl w:val="1"/>
          <w:numId w:val="4"/>
        </w:numPr>
        <w:rPr>
          <w:sz w:val="22"/>
        </w:rPr>
      </w:pPr>
      <w:r>
        <w:rPr>
          <w:sz w:val="22"/>
        </w:rPr>
        <w:t>Data ranges / tolerances</w:t>
      </w:r>
    </w:p>
    <w:p>
      <w:pPr>
        <w:pStyle w:val="Normal"/>
        <w:numPr>
          <w:ilvl w:val="1"/>
          <w:numId w:val="4"/>
        </w:numPr>
        <w:rPr>
          <w:sz w:val="22"/>
        </w:rPr>
      </w:pPr>
      <w:r>
        <w:rPr>
          <w:sz w:val="22"/>
        </w:rPr>
        <w:t>Improved Calculation Engine logic view screens</w:t>
      </w:r>
    </w:p>
    <w:p>
      <w:pPr>
        <w:pStyle w:val="Normal"/>
        <w:numPr>
          <w:ilvl w:val="1"/>
          <w:numId w:val="4"/>
        </w:numPr>
        <w:rPr>
          <w:sz w:val="22"/>
        </w:rPr>
      </w:pPr>
      <w:r>
        <w:rPr>
          <w:sz w:val="22"/>
        </w:rPr>
        <w:t>“</w:t>
      </w:r>
      <w:r>
        <w:rPr>
          <w:sz w:val="22"/>
        </w:rPr>
        <w:t>sub-component” behavior</w:t>
      </w:r>
    </w:p>
    <w:p>
      <w:pPr>
        <w:pStyle w:val="Normal"/>
        <w:numPr>
          <w:ilvl w:val="0"/>
          <w:numId w:val="4"/>
        </w:numPr>
        <w:rPr>
          <w:sz w:val="22"/>
        </w:rPr>
      </w:pPr>
      <w:r>
        <w:rPr>
          <w:sz w:val="22"/>
        </w:rPr>
        <w:t>Interfaces</w:t>
      </w:r>
    </w:p>
    <w:p>
      <w:pPr>
        <w:pStyle w:val="Normal"/>
        <w:numPr>
          <w:ilvl w:val="1"/>
          <w:numId w:val="4"/>
        </w:numPr>
        <w:rPr>
          <w:sz w:val="22"/>
        </w:rPr>
      </w:pPr>
      <w:r>
        <w:rPr>
          <w:sz w:val="22"/>
        </w:rPr>
        <w:t>Optimization, expansion of interface data and capabilities (inbound)</w:t>
      </w:r>
    </w:p>
    <w:p>
      <w:pPr>
        <w:pStyle w:val="Normal"/>
        <w:numPr>
          <w:ilvl w:val="1"/>
          <w:numId w:val="4"/>
        </w:numPr>
        <w:rPr>
          <w:sz w:val="22"/>
        </w:rPr>
      </w:pPr>
      <w:r>
        <w:rPr>
          <w:sz w:val="22"/>
        </w:rPr>
        <w:t>Providing VMS data within Enron Corp. as XML results (outbound)</w:t>
      </w:r>
    </w:p>
    <w:p>
      <w:pPr>
        <w:pStyle w:val="Normal"/>
        <w:numPr>
          <w:ilvl w:val="0"/>
          <w:numId w:val="4"/>
        </w:numPr>
        <w:rPr>
          <w:sz w:val="22"/>
        </w:rPr>
      </w:pPr>
      <w:r>
        <w:rPr>
          <w:sz w:val="22"/>
        </w:rPr>
        <w:t>Training</w:t>
      </w:r>
    </w:p>
    <w:p>
      <w:pPr>
        <w:pStyle w:val="Normal"/>
        <w:numPr>
          <w:ilvl w:val="1"/>
          <w:numId w:val="4"/>
        </w:numPr>
        <w:rPr>
          <w:sz w:val="22"/>
        </w:rPr>
      </w:pPr>
      <w:r>
        <w:rPr>
          <w:sz w:val="22"/>
        </w:rPr>
        <w:t>Knowledge Transfer to Enron Corp. support staff</w:t>
      </w:r>
    </w:p>
    <w:p>
      <w:pPr>
        <w:pStyle w:val="Normal"/>
        <w:numPr>
          <w:ilvl w:val="1"/>
          <w:numId w:val="4"/>
        </w:numPr>
        <w:rPr>
          <w:sz w:val="22"/>
        </w:rPr>
      </w:pPr>
      <w:r>
        <w:rPr>
          <w:sz w:val="22"/>
        </w:rPr>
        <w:t>Training for Enron Corp. Volume Management staff</w:t>
      </w:r>
    </w:p>
    <w:p>
      <w:pPr>
        <w:pStyle w:val="Normal"/>
        <w:rPr>
          <w:sz w:val="22"/>
        </w:rPr>
      </w:pPr>
      <w:r>
        <w:rPr>
          <w:sz w:val="22"/>
        </w:rPr>
      </w:r>
    </w:p>
    <w:p>
      <w:pPr>
        <w:pStyle w:val="Heading3"/>
        <w:numPr>
          <w:ilvl w:val="0"/>
          <w:numId w:val="0"/>
        </w:numPr>
        <w:ind w:hanging="0" w:start="0"/>
        <w:rPr>
          <w:sz w:val="22"/>
        </w:rPr>
      </w:pPr>
      <w:r>
        <w:rPr>
          <w:sz w:val="22"/>
        </w:rPr>
      </w:r>
    </w:p>
    <w:p>
      <w:pPr>
        <w:pStyle w:val="Normal"/>
        <w:rPr/>
      </w:pPr>
      <w:r>
        <w:rPr/>
      </w:r>
    </w:p>
    <w:p>
      <w:pPr>
        <w:pStyle w:val="ListBulletDash"/>
        <w:numPr>
          <w:ilvl w:val="0"/>
          <w:numId w:val="0"/>
        </w:numPr>
        <w:ind w:hanging="0" w:start="1627" w:end="0"/>
        <w:rPr/>
      </w:pPr>
      <w:r>
        <w:rPr/>
      </w:r>
    </w:p>
    <w:p>
      <w:pPr>
        <w:pStyle w:val="Heading1"/>
        <w:numPr>
          <w:ilvl w:val="0"/>
          <w:numId w:val="8"/>
        </w:numPr>
        <w:rPr/>
      </w:pPr>
      <w:bookmarkStart w:id="4" w:name="__RefHeading___Toc501341697"/>
      <w:bookmarkEnd w:id="4"/>
      <w:r>
        <w:rPr/>
        <w:t>Razorfish Responsibilities</w:t>
      </w:r>
    </w:p>
    <w:p>
      <w:pPr>
        <w:pStyle w:val="BodyText"/>
        <w:rPr/>
      </w:pPr>
      <w:r>
        <w:rPr/>
        <w:t>The Razorfish primary responsibility for the implementation and expansion efforts of the VMS application will consist of a supporting function in all technical areas as well as functional verification of the application. All tasks will be further defined during the initial phases of the project. Exact timeframes for the completion deliverables will be provided in the project and implementation plan to be developed and agreed upon during the first month of the project. Other responsibilities include:</w:t>
      </w:r>
    </w:p>
    <w:p>
      <w:pPr>
        <w:pStyle w:val="ListBullet"/>
        <w:numPr>
          <w:ilvl w:val="0"/>
          <w:numId w:val="5"/>
        </w:numPr>
        <w:rPr/>
      </w:pPr>
      <w:r>
        <w:rPr/>
        <w:t>Provide guidance as needed to Enron Corp. in all areas of VMS implementation as well as user acceptance deployment</w:t>
      </w:r>
    </w:p>
    <w:p>
      <w:pPr>
        <w:pStyle w:val="ListBullet"/>
        <w:numPr>
          <w:ilvl w:val="0"/>
          <w:numId w:val="5"/>
        </w:numPr>
        <w:rPr/>
      </w:pPr>
      <w:r>
        <w:rPr/>
        <w:t>Prior to the start of the project, Razorfish will assign resources that fulfill the following roles:</w:t>
      </w:r>
    </w:p>
    <w:p>
      <w:pPr>
        <w:pStyle w:val="ListBulletDash"/>
        <w:numPr>
          <w:ilvl w:val="1"/>
          <w:numId w:val="2"/>
        </w:numPr>
        <w:ind w:hanging="360" w:start="1710" w:end="0"/>
        <w:rPr/>
      </w:pPr>
      <w:r>
        <w:rPr>
          <w:i/>
          <w:iCs/>
        </w:rPr>
        <w:t xml:space="preserve">Razorfish </w:t>
      </w:r>
      <w:r>
        <w:rPr>
          <w:b/>
          <w:bCs/>
          <w:i/>
          <w:iCs/>
        </w:rPr>
        <w:t>Client Partner</w:t>
      </w:r>
      <w:r>
        <w:rPr>
          <w:b/>
          <w:bCs/>
        </w:rPr>
        <w:t>, Willem DeVries – Part Time</w:t>
      </w:r>
    </w:p>
    <w:p>
      <w:pPr>
        <w:pStyle w:val="ListDot"/>
        <w:numPr>
          <w:ilvl w:val="0"/>
          <w:numId w:val="3"/>
        </w:numPr>
        <w:rPr>
          <w:rFonts w:ascii="Times New Roman" w:hAnsi="Times New Roman" w:cs="Times New Roman"/>
          <w:sz w:val="22"/>
        </w:rPr>
      </w:pPr>
      <w:r>
        <w:rPr>
          <w:rFonts w:cs="Times New Roman" w:ascii="Times New Roman" w:hAnsi="Times New Roman"/>
          <w:sz w:val="22"/>
        </w:rPr>
        <w:t>Overall responsibility for Razorfish – Enron Corp. business relationship</w:t>
      </w:r>
    </w:p>
    <w:p>
      <w:pPr>
        <w:pStyle w:val="ListDot"/>
        <w:numPr>
          <w:ilvl w:val="0"/>
          <w:numId w:val="3"/>
        </w:numPr>
        <w:rPr>
          <w:rFonts w:ascii="Times New Roman" w:hAnsi="Times New Roman" w:cs="Times New Roman"/>
          <w:sz w:val="22"/>
        </w:rPr>
      </w:pPr>
      <w:r>
        <w:rPr>
          <w:rFonts w:cs="Times New Roman" w:ascii="Times New Roman" w:hAnsi="Times New Roman"/>
          <w:sz w:val="22"/>
        </w:rPr>
        <w:t>Overall responsibility of Razorfish team performance and accountability</w:t>
      </w:r>
    </w:p>
    <w:p>
      <w:pPr>
        <w:pStyle w:val="ListDot"/>
        <w:numPr>
          <w:ilvl w:val="0"/>
          <w:numId w:val="3"/>
        </w:numPr>
        <w:rPr/>
      </w:pPr>
      <w:r>
        <w:rPr>
          <w:rFonts w:cs="Times New Roman" w:ascii="Times New Roman" w:hAnsi="Times New Roman"/>
          <w:sz w:val="22"/>
        </w:rPr>
        <w:t>Overall responsibility for project financial performance and scope definitions</w:t>
      </w:r>
      <w:r>
        <w:rPr/>
        <w:t xml:space="preserve">   </w:t>
      </w:r>
      <w:r>
        <w:rPr>
          <w:b/>
          <w:bCs/>
          <w:i/>
          <w:iCs/>
        </w:rPr>
        <w:t xml:space="preserve"> </w:t>
      </w:r>
    </w:p>
    <w:p>
      <w:pPr>
        <w:pStyle w:val="ListBulletDash"/>
        <w:numPr>
          <w:ilvl w:val="1"/>
          <w:numId w:val="2"/>
        </w:numPr>
        <w:ind w:hanging="360" w:start="1710" w:end="0"/>
        <w:rPr/>
      </w:pPr>
      <w:r>
        <w:rPr>
          <w:i/>
        </w:rPr>
        <w:t>Razorfish</w:t>
      </w:r>
      <w:r>
        <w:rPr/>
        <w:t xml:space="preserve"> </w:t>
      </w:r>
      <w:r>
        <w:rPr>
          <w:b/>
          <w:bCs/>
          <w:i/>
          <w:iCs/>
        </w:rPr>
        <w:t>Sr.</w:t>
      </w:r>
      <w:r>
        <w:rPr>
          <w:i/>
          <w:iCs/>
        </w:rPr>
        <w:t xml:space="preserve"> </w:t>
      </w:r>
      <w:r>
        <w:rPr>
          <w:b/>
          <w:i/>
          <w:iCs/>
        </w:rPr>
        <w:t>Developer(s)/Developers</w:t>
      </w:r>
      <w:r>
        <w:rPr>
          <w:b/>
        </w:rPr>
        <w:t xml:space="preserve"> – (Chandra Venu, Yidan Yang, Xiaoming Ding and Neeraj Gupta) Full Time</w:t>
      </w:r>
    </w:p>
    <w:p>
      <w:pPr>
        <w:pStyle w:val="ListDot"/>
        <w:numPr>
          <w:ilvl w:val="0"/>
          <w:numId w:val="10"/>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detail design, development, and documentation of the VMS modules they are assigned to</w:t>
      </w:r>
    </w:p>
    <w:p>
      <w:pPr>
        <w:pStyle w:val="ListDot"/>
        <w:numPr>
          <w:ilvl w:val="0"/>
          <w:numId w:val="10"/>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to provide Enron VMS Management with progress reports, follow up on open issues, and implementing required changes</w:t>
      </w:r>
    </w:p>
    <w:p>
      <w:pPr>
        <w:pStyle w:val="ListDot"/>
        <w:numPr>
          <w:ilvl w:val="0"/>
          <w:numId w:val="10"/>
        </w:numPr>
        <w:tabs>
          <w:tab w:val="clear" w:pos="360"/>
        </w:tabs>
        <w:ind w:hanging="360" w:start="1980" w:end="0"/>
        <w:rPr>
          <w:rFonts w:ascii="Times New Roman" w:hAnsi="Times New Roman" w:cs="Times New Roman"/>
          <w:sz w:val="22"/>
        </w:rPr>
      </w:pPr>
      <w:r>
        <w:rPr>
          <w:rFonts w:cs="Times New Roman" w:ascii="Times New Roman" w:hAnsi="Times New Roman"/>
          <w:sz w:val="22"/>
        </w:rPr>
        <w:t>Responsible for day to day bug fixing and PCR processing</w:t>
      </w:r>
    </w:p>
    <w:p>
      <w:pPr>
        <w:pStyle w:val="Footer"/>
        <w:tabs>
          <w:tab w:val="clear" w:pos="4320"/>
          <w:tab w:val="clear" w:pos="8640"/>
        </w:tabs>
        <w:rPr>
          <w:rFonts w:ascii="Times New Roman" w:hAnsi="Times New Roman" w:cs="Times New Roman"/>
          <w:sz w:val="22"/>
        </w:rPr>
      </w:pPr>
      <w:r>
        <w:rPr>
          <w:rFonts w:cs="Times New Roman"/>
          <w:sz w:val="22"/>
        </w:rPr>
      </w:r>
    </w:p>
    <w:p>
      <w:pPr>
        <w:pStyle w:val="Heading1"/>
        <w:numPr>
          <w:ilvl w:val="0"/>
          <w:numId w:val="8"/>
        </w:numPr>
        <w:rPr/>
      </w:pPr>
      <w:bookmarkStart w:id="5" w:name="__RefHeading___Toc501341698"/>
      <w:bookmarkEnd w:id="5"/>
      <w:r>
        <w:rPr/>
        <w:t>Enron Corp. Responsibilities</w:t>
      </w:r>
    </w:p>
    <w:p>
      <w:pPr>
        <w:pStyle w:val="ListBullet"/>
        <w:numPr>
          <w:ilvl w:val="0"/>
          <w:numId w:val="5"/>
        </w:numPr>
        <w:rPr/>
      </w:pPr>
      <w:r>
        <w:rPr/>
        <w:t>Before the project start:</w:t>
      </w:r>
    </w:p>
    <w:p>
      <w:pPr>
        <w:pStyle w:val="ListBulletDash"/>
        <w:numPr>
          <w:ilvl w:val="0"/>
          <w:numId w:val="11"/>
        </w:numPr>
        <w:ind w:hanging="288" w:start="1710" w:end="0"/>
        <w:rPr/>
      </w:pPr>
      <w:r>
        <w:rPr/>
        <w:t>Assign appropriate project resources:</w:t>
      </w:r>
    </w:p>
    <w:p>
      <w:pPr>
        <w:pStyle w:val="ListBulletDashTextNumbered"/>
        <w:numPr>
          <w:ilvl w:val="0"/>
          <w:numId w:val="12"/>
        </w:numPr>
        <w:tabs>
          <w:tab w:val="clear" w:pos="720"/>
          <w:tab w:val="left" w:pos="360" w:leader="none"/>
        </w:tabs>
        <w:rPr>
          <w:rFonts w:ascii="Times New Roman" w:hAnsi="Times New Roman" w:cs="Times New Roman"/>
          <w:sz w:val="22"/>
        </w:rPr>
      </w:pPr>
      <w:r>
        <w:rPr>
          <w:rFonts w:cs="Times New Roman" w:ascii="Times New Roman" w:hAnsi="Times New Roman"/>
          <w:sz w:val="22"/>
          <w:u w:val="single"/>
        </w:rPr>
        <w:t>Executive Sponsor</w:t>
      </w:r>
      <w:r>
        <w:rPr>
          <w:rFonts w:cs="Times New Roman" w:ascii="Times New Roman" w:hAnsi="Times New Roman"/>
          <w:sz w:val="22"/>
        </w:rPr>
        <w:t xml:space="preserve">: Responsible for ensuring sustained buy-in at management levels, ensure timely availability of needed resources, ensure sustained adherence to schedule commitments given by Enron Corp. and third-party vendors, and keep informed about project status. </w:t>
      </w:r>
    </w:p>
    <w:p>
      <w:pPr>
        <w:pStyle w:val="ListBulletDashTextNumbered"/>
        <w:numPr>
          <w:ilvl w:val="0"/>
          <w:numId w:val="12"/>
        </w:numPr>
        <w:tabs>
          <w:tab w:val="clear" w:pos="720"/>
          <w:tab w:val="left" w:pos="360" w:leader="none"/>
        </w:tabs>
        <w:rPr>
          <w:rFonts w:ascii="Times New Roman" w:hAnsi="Times New Roman" w:cs="Times New Roman"/>
          <w:sz w:val="22"/>
        </w:rPr>
      </w:pPr>
      <w:r>
        <w:rPr>
          <w:rFonts w:cs="Times New Roman" w:ascii="Times New Roman" w:hAnsi="Times New Roman"/>
          <w:sz w:val="22"/>
          <w:u w:val="single"/>
        </w:rPr>
        <w:t>Project Manager</w:t>
      </w:r>
      <w:r>
        <w:rPr>
          <w:rFonts w:cs="Times New Roman" w:ascii="Times New Roman" w:hAnsi="Times New Roman"/>
          <w:sz w:val="22"/>
        </w:rPr>
        <w:t>: Responsible for the overall coordination and execution of the work of Enron Corp. and Razorfish’s team, in support of the project plan and schedule. Responsible for timely notification of any delays, problems, program change requests (PCR’s) and change orders to the Razorfish project manager</w:t>
      </w:r>
    </w:p>
    <w:p>
      <w:pPr>
        <w:pStyle w:val="ListBulletDashTextNumbered"/>
        <w:numPr>
          <w:ilvl w:val="0"/>
          <w:numId w:val="12"/>
        </w:numPr>
        <w:tabs>
          <w:tab w:val="clear" w:pos="720"/>
          <w:tab w:val="left" w:pos="360" w:leader="none"/>
        </w:tabs>
        <w:rPr>
          <w:rFonts w:ascii="Times New Roman" w:hAnsi="Times New Roman" w:cs="Times New Roman"/>
          <w:sz w:val="22"/>
        </w:rPr>
      </w:pPr>
      <w:r>
        <w:rPr>
          <w:rFonts w:cs="Times New Roman" w:ascii="Times New Roman" w:hAnsi="Times New Roman"/>
          <w:sz w:val="22"/>
          <w:u w:val="single"/>
        </w:rPr>
        <w:t>Technical Representatives:</w:t>
      </w:r>
      <w:r>
        <w:rPr>
          <w:rFonts w:cs="Times New Roman" w:ascii="Times New Roman" w:hAnsi="Times New Roman"/>
          <w:sz w:val="22"/>
        </w:rPr>
        <w:t xml:space="preserve"> Responsible for the execution of the technical tasks as required in support of the Razorfish design team. </w:t>
      </w:r>
    </w:p>
    <w:p>
      <w:pPr>
        <w:pStyle w:val="ListBullet"/>
        <w:numPr>
          <w:ilvl w:val="0"/>
          <w:numId w:val="5"/>
        </w:numPr>
        <w:rPr/>
      </w:pPr>
      <w:r>
        <w:rPr/>
        <w:t>Provide staff, hardware, and software as determined by the project joint Razorfish/Enron Corp. team</w:t>
      </w:r>
    </w:p>
    <w:p>
      <w:pPr>
        <w:pStyle w:val="ListBullet"/>
        <w:numPr>
          <w:ilvl w:val="0"/>
          <w:numId w:val="5"/>
        </w:numPr>
        <w:rPr/>
      </w:pPr>
      <w:r>
        <w:rPr/>
        <w:t xml:space="preserve">Provide a single point of contact to report problems to Razorfish </w:t>
      </w:r>
    </w:p>
    <w:p>
      <w:pPr>
        <w:pStyle w:val="ListBullet"/>
        <w:numPr>
          <w:ilvl w:val="0"/>
          <w:numId w:val="5"/>
        </w:numPr>
        <w:rPr/>
      </w:pPr>
      <w:r>
        <w:rPr/>
        <w:t>Provide desk space, telephone access (separate voice and modem capable), internet access, 24x7 access to the facilities, copy machine access, fax machine access, printer access, conference room access and on-site parking as required by Razorfish team members</w:t>
      </w:r>
    </w:p>
    <w:p>
      <w:pPr>
        <w:pStyle w:val="ListBulletDash"/>
        <w:numPr>
          <w:ilvl w:val="0"/>
          <w:numId w:val="0"/>
        </w:numPr>
        <w:ind w:hanging="0" w:start="1354" w:end="0"/>
        <w:rPr/>
      </w:pPr>
      <w:r>
        <w:rPr/>
      </w:r>
    </w:p>
    <w:p>
      <w:pPr>
        <w:pStyle w:val="ListBulletDash"/>
        <w:numPr>
          <w:ilvl w:val="0"/>
          <w:numId w:val="0"/>
        </w:numPr>
        <w:ind w:hanging="0" w:start="1354" w:end="0"/>
        <w:rPr/>
      </w:pPr>
      <w:r>
        <w:rPr/>
      </w:r>
      <w:r>
        <w:br w:type="page"/>
      </w:r>
    </w:p>
    <w:p>
      <w:pPr>
        <w:pStyle w:val="ListBulletDash"/>
        <w:numPr>
          <w:ilvl w:val="0"/>
          <w:numId w:val="0"/>
        </w:numPr>
        <w:ind w:hanging="0" w:start="1354" w:end="0"/>
        <w:rPr/>
      </w:pPr>
      <w:r>
        <w:rPr/>
      </w:r>
    </w:p>
    <w:p>
      <w:pPr>
        <w:pStyle w:val="Heading1"/>
        <w:numPr>
          <w:ilvl w:val="0"/>
          <w:numId w:val="8"/>
        </w:numPr>
        <w:rPr/>
      </w:pPr>
      <w:bookmarkStart w:id="6" w:name="__RefHeading___Toc501341699"/>
      <w:bookmarkEnd w:id="6"/>
      <w:r>
        <w:rPr/>
        <w:t>Project Fee and Payment Schedule</w:t>
      </w:r>
    </w:p>
    <w:p>
      <w:pPr>
        <w:pStyle w:val="BodyText"/>
        <w:rPr/>
      </w:pPr>
      <w:r>
        <w:rPr/>
        <w:t xml:space="preserve">Razorfish will conduct the VMS implementation and maintenance services as described above, at the fixed price of $112,000 per month plus reasonable travel, living and materials expenses actually incurred.  Project fees in advance, and monthly expenses for the previous month will be invoiced on a monthly basis. All VMS implementation and maintenance services will be contracted for the period July 1, 2001 through September 30, 2001, or 3 Months for a total contract value of  $336,000. </w:t>
      </w:r>
    </w:p>
    <w:p>
      <w:pPr>
        <w:pStyle w:val="BodyText"/>
        <w:rPr/>
      </w:pPr>
      <w:r>
        <w:rPr/>
        <w:t xml:space="preserve">Razorfish will deduct actual hours not worked due to scheduled vacations or unscheduled sick time by resources, if Razorfish cannot replace resources in a timely fashion. Deduction of actual hours not worked will be at a blended rate of $176.00 per hour not worked. </w:t>
      </w:r>
    </w:p>
    <w:p>
      <w:pPr>
        <w:pStyle w:val="BodyText"/>
        <w:rPr/>
      </w:pPr>
      <w:r>
        <w:rPr/>
        <w:t>All payments are due within thirty days, except the first payment, which is due within 15 days. Any additional Razorfish work required beyond the scope of the project as defined in this SOW, will be scoped and priced in a separate document, as specified in Appendix B. Upon mutual agreement, any such document will be attached to this Statement of Work (SOW) as an addendum, and become part of the VMS project.</w:t>
      </w:r>
    </w:p>
    <w:p>
      <w:pPr>
        <w:pStyle w:val="BodyTextIndent"/>
        <w:ind w:start="0" w:end="0"/>
        <w:rPr>
          <w:rFonts w:ascii="Times New Roman" w:hAnsi="Times New Roman" w:eastAsia="Arial" w:cs="Times New Roman"/>
        </w:rPr>
      </w:pPr>
      <w:r>
        <w:rPr>
          <w:rFonts w:eastAsia="Arial" w:cs="Times New Roman" w:ascii="Times New Roman" w:hAnsi="Times New Roman"/>
        </w:rPr>
        <w:t xml:space="preserve"> </w:t>
      </w:r>
    </w:p>
    <w:tbl>
      <w:tblPr>
        <w:tblW w:w="8748" w:type="dxa"/>
        <w:jc w:val="start"/>
        <w:tblInd w:w="0" w:type="dxa"/>
        <w:tblLayout w:type="fixed"/>
        <w:tblCellMar>
          <w:top w:w="0" w:type="dxa"/>
          <w:start w:w="108" w:type="dxa"/>
          <w:bottom w:w="0" w:type="dxa"/>
          <w:end w:w="108" w:type="dxa"/>
        </w:tblCellMar>
      </w:tblPr>
      <w:tblGrid>
        <w:gridCol w:w="1098"/>
        <w:gridCol w:w="3060"/>
        <w:gridCol w:w="270"/>
        <w:gridCol w:w="10"/>
        <w:gridCol w:w="1250"/>
        <w:gridCol w:w="3060"/>
      </w:tblGrid>
      <w:tr>
        <w:trPr/>
        <w:tc>
          <w:tcPr>
            <w:tcW w:w="4158" w:type="dxa"/>
            <w:gridSpan w:val="2"/>
            <w:tcBorders/>
          </w:tcPr>
          <w:p>
            <w:pPr>
              <w:pStyle w:val="Normal"/>
              <w:jc w:val="both"/>
              <w:rPr>
                <w:sz w:val="24"/>
              </w:rPr>
            </w:pPr>
            <w:r>
              <w:rPr>
                <w:b/>
                <w:sz w:val="24"/>
              </w:rPr>
              <w:t>Razorfish</w:t>
            </w:r>
          </w:p>
        </w:tc>
        <w:tc>
          <w:tcPr>
            <w:tcW w:w="270" w:type="dxa"/>
            <w:tcBorders/>
          </w:tcPr>
          <w:p>
            <w:pPr>
              <w:pStyle w:val="Normal"/>
              <w:snapToGrid w:val="false"/>
              <w:jc w:val="both"/>
              <w:rPr>
                <w:sz w:val="24"/>
              </w:rPr>
            </w:pPr>
            <w:r>
              <w:rPr>
                <w:sz w:val="24"/>
              </w:rPr>
            </w:r>
          </w:p>
        </w:tc>
        <w:tc>
          <w:tcPr>
            <w:tcW w:w="4320" w:type="dxa"/>
            <w:gridSpan w:val="3"/>
            <w:tcBorders/>
          </w:tcPr>
          <w:p>
            <w:pPr>
              <w:pStyle w:val="Normal"/>
              <w:jc w:val="both"/>
              <w:rPr>
                <w:sz w:val="24"/>
              </w:rPr>
            </w:pPr>
            <w:r>
              <w:rPr>
                <w:b/>
                <w:sz w:val="24"/>
              </w:rPr>
              <w:t>Enron Corp.</w:t>
            </w:r>
          </w:p>
        </w:tc>
      </w:tr>
      <w:tr>
        <w:trPr/>
        <w:tc>
          <w:tcPr>
            <w:tcW w:w="1098" w:type="dxa"/>
            <w:tcBorders/>
          </w:tcPr>
          <w:p>
            <w:pPr>
              <w:pStyle w:val="Normal"/>
              <w:spacing w:before="60" w:after="60"/>
              <w:jc w:val="both"/>
              <w:rPr>
                <w:sz w:val="18"/>
              </w:rPr>
            </w:pPr>
            <w:r>
              <w:rPr>
                <w:sz w:val="18"/>
              </w:rPr>
              <w:t>By:</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By:</w:t>
            </w:r>
          </w:p>
        </w:tc>
        <w:tc>
          <w:tcPr>
            <w:tcW w:w="3060" w:type="dxa"/>
            <w:tcBorders>
              <w:bottom w:val="single" w:sz="6" w:space="0" w:color="000000"/>
            </w:tcBorders>
          </w:tcPr>
          <w:p>
            <w:pPr>
              <w:pStyle w:val="Normal"/>
              <w:snapToGrid w:val="false"/>
              <w:spacing w:before="60" w:after="60"/>
              <w:jc w:val="both"/>
              <w:rPr>
                <w:sz w:val="18"/>
              </w:rPr>
            </w:pPr>
            <w:r>
              <w:rPr>
                <w:sz w:val="18"/>
              </w:rPr>
            </w:r>
          </w:p>
        </w:tc>
      </w:tr>
      <w:tr>
        <w:trPr/>
        <w:tc>
          <w:tcPr>
            <w:tcW w:w="1098"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r>
      <w:tr>
        <w:trPr/>
        <w:tc>
          <w:tcPr>
            <w:tcW w:w="1098" w:type="dxa"/>
            <w:tcBorders/>
          </w:tcPr>
          <w:p>
            <w:pPr>
              <w:pStyle w:val="Normal"/>
              <w:spacing w:before="60" w:after="60"/>
              <w:jc w:val="both"/>
              <w:rPr>
                <w:sz w:val="18"/>
              </w:rPr>
            </w:pPr>
            <w:r>
              <w:rPr>
                <w:sz w:val="18"/>
              </w:rPr>
              <w:t>Name:</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Name:</w:t>
            </w:r>
          </w:p>
        </w:tc>
        <w:tc>
          <w:tcPr>
            <w:tcW w:w="3060" w:type="dxa"/>
            <w:tcBorders>
              <w:bottom w:val="single" w:sz="6" w:space="0" w:color="000000"/>
            </w:tcBorders>
          </w:tcPr>
          <w:p>
            <w:pPr>
              <w:pStyle w:val="Normal"/>
              <w:snapToGrid w:val="false"/>
              <w:spacing w:before="60" w:after="60"/>
              <w:jc w:val="both"/>
              <w:rPr>
                <w:sz w:val="18"/>
              </w:rPr>
            </w:pPr>
            <w:r>
              <w:rPr>
                <w:sz w:val="18"/>
              </w:rPr>
            </w:r>
          </w:p>
        </w:tc>
      </w:tr>
      <w:tr>
        <w:trPr/>
        <w:tc>
          <w:tcPr>
            <w:tcW w:w="1098"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r>
      <w:tr>
        <w:trPr/>
        <w:tc>
          <w:tcPr>
            <w:tcW w:w="1098" w:type="dxa"/>
            <w:tcBorders/>
          </w:tcPr>
          <w:p>
            <w:pPr>
              <w:pStyle w:val="Normal"/>
              <w:spacing w:before="60" w:after="60"/>
              <w:jc w:val="both"/>
              <w:rPr>
                <w:sz w:val="18"/>
              </w:rPr>
            </w:pPr>
            <w:r>
              <w:rPr>
                <w:sz w:val="18"/>
              </w:rPr>
              <w:t>Title:</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Title:</w:t>
            </w:r>
          </w:p>
        </w:tc>
        <w:tc>
          <w:tcPr>
            <w:tcW w:w="3060" w:type="dxa"/>
            <w:tcBorders>
              <w:bottom w:val="single" w:sz="6" w:space="0" w:color="000000"/>
            </w:tcBorders>
          </w:tcPr>
          <w:p>
            <w:pPr>
              <w:pStyle w:val="Normal"/>
              <w:snapToGrid w:val="false"/>
              <w:spacing w:before="60" w:after="60"/>
              <w:jc w:val="both"/>
              <w:rPr>
                <w:sz w:val="18"/>
              </w:rPr>
            </w:pPr>
            <w:r>
              <w:rPr>
                <w:sz w:val="18"/>
              </w:rPr>
            </w:r>
          </w:p>
        </w:tc>
      </w:tr>
      <w:tr>
        <w:trPr/>
        <w:tc>
          <w:tcPr>
            <w:tcW w:w="1098"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napToGrid w:val="false"/>
              <w:spacing w:before="60" w:after="60"/>
              <w:jc w:val="both"/>
              <w:rPr>
                <w:sz w:val="18"/>
              </w:rPr>
            </w:pPr>
            <w:r>
              <w:rPr>
                <w:sz w:val="18"/>
              </w:rPr>
            </w:r>
          </w:p>
        </w:tc>
        <w:tc>
          <w:tcPr>
            <w:tcW w:w="3060" w:type="dxa"/>
            <w:tcBorders/>
          </w:tcPr>
          <w:p>
            <w:pPr>
              <w:pStyle w:val="Normal"/>
              <w:snapToGrid w:val="false"/>
              <w:spacing w:before="60" w:after="60"/>
              <w:jc w:val="both"/>
              <w:rPr>
                <w:sz w:val="18"/>
              </w:rPr>
            </w:pPr>
            <w:r>
              <w:rPr>
                <w:sz w:val="18"/>
              </w:rPr>
            </w:r>
          </w:p>
        </w:tc>
      </w:tr>
      <w:tr>
        <w:trPr/>
        <w:tc>
          <w:tcPr>
            <w:tcW w:w="1098" w:type="dxa"/>
            <w:tcBorders/>
          </w:tcPr>
          <w:p>
            <w:pPr>
              <w:pStyle w:val="Normal"/>
              <w:spacing w:before="60" w:after="60"/>
              <w:jc w:val="both"/>
              <w:rPr>
                <w:sz w:val="18"/>
              </w:rPr>
            </w:pPr>
            <w:r>
              <w:rPr>
                <w:sz w:val="18"/>
              </w:rPr>
              <w:t>Date:</w:t>
            </w:r>
          </w:p>
        </w:tc>
        <w:tc>
          <w:tcPr>
            <w:tcW w:w="3060" w:type="dxa"/>
            <w:tcBorders>
              <w:bottom w:val="single" w:sz="6" w:space="0" w:color="000000"/>
            </w:tcBorders>
          </w:tcPr>
          <w:p>
            <w:pPr>
              <w:pStyle w:val="Normal"/>
              <w:snapToGrid w:val="false"/>
              <w:spacing w:before="60" w:after="60"/>
              <w:jc w:val="both"/>
              <w:rPr>
                <w:sz w:val="18"/>
              </w:rPr>
            </w:pPr>
            <w:r>
              <w:rPr>
                <w:sz w:val="18"/>
              </w:rPr>
            </w:r>
          </w:p>
        </w:tc>
        <w:tc>
          <w:tcPr>
            <w:tcW w:w="280" w:type="dxa"/>
            <w:gridSpan w:val="2"/>
            <w:tcBorders/>
          </w:tcPr>
          <w:p>
            <w:pPr>
              <w:pStyle w:val="Normal"/>
              <w:snapToGrid w:val="false"/>
              <w:spacing w:before="60" w:after="60"/>
              <w:jc w:val="both"/>
              <w:rPr>
                <w:sz w:val="18"/>
              </w:rPr>
            </w:pPr>
            <w:r>
              <w:rPr>
                <w:sz w:val="18"/>
              </w:rPr>
            </w:r>
          </w:p>
        </w:tc>
        <w:tc>
          <w:tcPr>
            <w:tcW w:w="1250" w:type="dxa"/>
            <w:tcBorders/>
          </w:tcPr>
          <w:p>
            <w:pPr>
              <w:pStyle w:val="Normal"/>
              <w:spacing w:before="60" w:after="60"/>
              <w:jc w:val="both"/>
              <w:rPr>
                <w:sz w:val="18"/>
              </w:rPr>
            </w:pPr>
            <w:r>
              <w:rPr>
                <w:sz w:val="18"/>
              </w:rPr>
              <w:t>Date:</w:t>
            </w:r>
          </w:p>
        </w:tc>
        <w:tc>
          <w:tcPr>
            <w:tcW w:w="3060" w:type="dxa"/>
            <w:tcBorders>
              <w:bottom w:val="single" w:sz="6" w:space="0" w:color="000000"/>
            </w:tcBorders>
          </w:tcPr>
          <w:p>
            <w:pPr>
              <w:pStyle w:val="Normal"/>
              <w:snapToGrid w:val="false"/>
              <w:spacing w:before="60" w:after="60"/>
              <w:jc w:val="both"/>
              <w:rPr>
                <w:sz w:val="18"/>
              </w:rPr>
            </w:pPr>
            <w:r>
              <w:rPr>
                <w:sz w:val="18"/>
              </w:rPr>
            </w:r>
          </w:p>
        </w:tc>
      </w:tr>
    </w:tbl>
    <w:p>
      <w:pPr>
        <w:pStyle w:val="Heading1"/>
        <w:ind w:hanging="0" w:start="0"/>
        <w:rPr/>
      </w:pPr>
      <w:r>
        <w:br w:type="page"/>
      </w:r>
      <w:bookmarkStart w:id="7" w:name="__RefHeading___Toc501341700"/>
      <w:bookmarkEnd w:id="7"/>
      <w:r>
        <w:rPr/>
        <w:t>Appendix A: Assumptions</w:t>
      </w:r>
    </w:p>
    <w:p>
      <w:pPr>
        <w:pStyle w:val="ListBullet"/>
        <w:numPr>
          <w:ilvl w:val="0"/>
          <w:numId w:val="5"/>
        </w:numPr>
        <w:rPr/>
      </w:pPr>
      <w:r>
        <w:rPr/>
        <w:t>The user and technical personnel provided understand the system or a specific area of the system. They are able and available to answer all system-related questions including business related logic or they can direct the Razorfish team to someone that can.</w:t>
      </w:r>
    </w:p>
    <w:p>
      <w:pPr>
        <w:pStyle w:val="ListBullet"/>
        <w:numPr>
          <w:ilvl w:val="0"/>
          <w:numId w:val="5"/>
        </w:numPr>
        <w:rPr/>
      </w:pPr>
      <w:r>
        <w:rPr/>
        <w:t xml:space="preserve">All key Enron Corp. and Razorfish personnel will be available to perform the tasks as they are defined in the detailed schedule.  </w:t>
      </w:r>
    </w:p>
    <w:p>
      <w:pPr>
        <w:pStyle w:val="ListBullet"/>
        <w:numPr>
          <w:ilvl w:val="0"/>
          <w:numId w:val="5"/>
        </w:numPr>
        <w:rPr/>
      </w:pPr>
      <w:r>
        <w:rPr/>
        <w:t>Enron Corp. and Razorfish will share the same implementation infrastructure, to be provided by Enron Corp.</w:t>
      </w:r>
    </w:p>
    <w:p>
      <w:pPr>
        <w:pStyle w:val="ListBullet"/>
        <w:numPr>
          <w:ilvl w:val="0"/>
          <w:numId w:val="5"/>
        </w:numPr>
        <w:rPr/>
      </w:pPr>
      <w:r>
        <w:rPr/>
        <w:t>Application turn-over/completion will occur at the point where the VMS code successfully executes all parallel acceptance scripts</w:t>
      </w:r>
    </w:p>
    <w:p>
      <w:pPr>
        <w:pStyle w:val="ListBullet"/>
        <w:numPr>
          <w:ilvl w:val="0"/>
          <w:numId w:val="5"/>
        </w:numPr>
        <w:rPr/>
      </w:pPr>
      <w:r>
        <w:rPr/>
        <w:t>Enron Corp. is to provide all necessary hardware and software across all environments (deployment, expansion and production). An appropriate environment, if required, for any expanded system testing will be available prior to the start of these testing activities.</w:t>
      </w:r>
    </w:p>
    <w:p>
      <w:pPr>
        <w:pStyle w:val="ListBullet"/>
        <w:numPr>
          <w:ilvl w:val="0"/>
          <w:numId w:val="5"/>
        </w:numPr>
        <w:rPr/>
      </w:pPr>
      <w:r>
        <w:rPr/>
        <w:t>Enron Corp. and Razorfish will follow all implementation standards agreed upon between Razorfish and Enron Corp. during the first month of the project.</w:t>
      </w:r>
    </w:p>
    <w:p>
      <w:pPr>
        <w:pStyle w:val="ListBullet"/>
        <w:numPr>
          <w:ilvl w:val="0"/>
          <w:numId w:val="5"/>
        </w:numPr>
        <w:rPr/>
      </w:pPr>
      <w:r>
        <w:rPr/>
        <w:t>Enron Corp. will provide resources on a timely basis for this purpose as required by the project</w:t>
      </w:r>
    </w:p>
    <w:p>
      <w:pPr>
        <w:pStyle w:val="ListBullet"/>
        <w:numPr>
          <w:ilvl w:val="0"/>
          <w:numId w:val="5"/>
        </w:numPr>
        <w:rPr/>
      </w:pPr>
      <w:r>
        <w:rPr/>
        <w:t xml:space="preserve">During the implementation phases of the project, Razorfish team representatives will be full time present at the Enron Corp. facilities in Portland, OR and Houston, TX and other Enron Corp. facilities as required. </w:t>
      </w:r>
    </w:p>
    <w:p>
      <w:pPr>
        <w:pStyle w:val="ListBullet"/>
        <w:numPr>
          <w:ilvl w:val="0"/>
          <w:numId w:val="5"/>
        </w:numPr>
        <w:rPr/>
      </w:pPr>
      <w:r>
        <w:rPr/>
        <w:t xml:space="preserve">Razorfish and Enron Corp. will meet </w:t>
      </w:r>
      <w:r>
        <w:rPr>
          <w:color w:val="000000"/>
        </w:rPr>
        <w:t>at least one time per</w:t>
      </w:r>
      <w:r>
        <w:rPr/>
        <w:t xml:space="preserve"> week, or as many times as necessary, to review the impact of any revisions that Enron Corp. is performing to VMS functionality definitions outside of this statement of work. Change orders will be required if reviews result in any change to the definitions.</w:t>
      </w:r>
    </w:p>
    <w:p>
      <w:pPr>
        <w:pStyle w:val="ListBullet"/>
        <w:numPr>
          <w:ilvl w:val="0"/>
          <w:numId w:val="5"/>
        </w:numPr>
        <w:rPr/>
      </w:pPr>
      <w:r>
        <w:rPr/>
        <w:t xml:space="preserve">This SOW is in conjunction with the successful transition of two Razorfish employees to Enron Corp. employment. Enron Corp. starting July 1, 2001 will employ the Razorfish employees, Mr. Jim Meyer and Bala Kandaswamy. Razorfish will charge Enron Corp. a transition fee of 25% of annual salary for each employee under separate agreement.  </w:t>
      </w:r>
      <w:r>
        <w:br w:type="page"/>
      </w:r>
    </w:p>
    <w:p>
      <w:pPr>
        <w:pStyle w:val="Heading1"/>
        <w:ind w:hanging="0" w:start="0"/>
        <w:rPr/>
      </w:pPr>
      <w:bookmarkStart w:id="8" w:name="__RefHeading___Toc501341701"/>
      <w:bookmarkEnd w:id="8"/>
      <w:r>
        <w:rPr/>
        <w:t>Appendix B: Change Order Process</w:t>
      </w:r>
    </w:p>
    <w:p>
      <w:pPr>
        <w:pStyle w:val="Heading2"/>
        <w:ind w:hanging="0" w:start="0"/>
        <w:rPr/>
      </w:pPr>
      <w:bookmarkStart w:id="9" w:name="__RefHeading___Toc501341702"/>
      <w:bookmarkEnd w:id="9"/>
      <w:r>
        <w:rPr/>
        <w:t>Overview</w:t>
      </w:r>
    </w:p>
    <w:p>
      <w:pPr>
        <w:pStyle w:val="BodyText"/>
        <w:rPr/>
      </w:pPr>
      <w:r>
        <w:rPr/>
        <w:t xml:space="preserve">The VMS implementation will be conducted on a monthly retainer basis.  The scope of work is captured in this SOW, which will later be superseded by the mutually approved project plan. This SOW and subsequently the project plan, establish the baseline for the VMS project. Any changes to this baseline will be managed by the joint Razorfish/Enron Corp. team, and will be captured by the change order process.  A change order is documentation of a change to the project baseline, and may or may not have cost and schedule implications. </w:t>
      </w:r>
    </w:p>
    <w:p>
      <w:pPr>
        <w:pStyle w:val="Heading2"/>
        <w:numPr>
          <w:ilvl w:val="0"/>
          <w:numId w:val="0"/>
        </w:numPr>
        <w:ind w:hanging="0" w:start="0"/>
        <w:rPr/>
      </w:pPr>
      <w:r>
        <w:rPr/>
      </w:r>
    </w:p>
    <w:p>
      <w:pPr>
        <w:pStyle w:val="Heading2"/>
        <w:numPr>
          <w:ilvl w:val="0"/>
          <w:numId w:val="0"/>
        </w:numPr>
        <w:ind w:hanging="0" w:start="0"/>
        <w:rPr/>
      </w:pPr>
      <w:bookmarkStart w:id="10" w:name="__RefHeading___Toc501341703"/>
      <w:bookmarkEnd w:id="10"/>
      <w:r>
        <w:rPr/>
        <w:t>Change Order Process</w:t>
      </w:r>
    </w:p>
    <w:p>
      <w:pPr>
        <w:pStyle w:val="BodyText"/>
        <w:rPr/>
      </w:pPr>
      <w:r>
        <w:rPr/>
        <w:t>This process involves three steps: capture and log the change request, investigate the change request, and conclude the change request.</w:t>
      </w:r>
    </w:p>
    <w:p>
      <w:pPr>
        <w:pStyle w:val="ListBullet"/>
        <w:numPr>
          <w:ilvl w:val="0"/>
          <w:numId w:val="5"/>
        </w:numPr>
        <w:rPr/>
      </w:pPr>
      <w:r>
        <w:rPr/>
        <w:t>Capture and log the change request</w:t>
      </w:r>
    </w:p>
    <w:p>
      <w:pPr>
        <w:pStyle w:val="ListBulletDash"/>
        <w:numPr>
          <w:ilvl w:val="1"/>
          <w:numId w:val="2"/>
        </w:numPr>
        <w:ind w:hanging="0" w:start="1260"/>
        <w:rPr/>
      </w:pPr>
      <w:r>
        <w:rPr/>
        <w:t>All change orders have to be submitted to Razorfish in writing. Razorfish will estimate the impact of the change order to the existing project plan.  If there is cost and schedule impact to the project, Razorfish will inform Enron Corp. in writing.  Enron Corp. has to approve the newly scoped project plan and, if necessary, the impact on the price in writing.</w:t>
      </w:r>
    </w:p>
    <w:p>
      <w:pPr>
        <w:pStyle w:val="ListBulletDash"/>
        <w:numPr>
          <w:ilvl w:val="1"/>
          <w:numId w:val="2"/>
        </w:numPr>
        <w:ind w:hanging="0" w:start="1260"/>
        <w:rPr/>
      </w:pPr>
      <w:r>
        <w:rPr/>
        <w:t>It is possible that a change order does not impact the schedule and can be accommodated by reorganizing the resources on the project. Enron Corp. or Razorfish can initiate change orders.</w:t>
      </w:r>
    </w:p>
    <w:p>
      <w:pPr>
        <w:pStyle w:val="ListBulletDash"/>
        <w:numPr>
          <w:ilvl w:val="1"/>
          <w:numId w:val="2"/>
        </w:numPr>
        <w:ind w:hanging="0" w:start="1260"/>
        <w:rPr/>
      </w:pPr>
      <w:r>
        <w:rPr/>
        <w:t>A change initiated by Enron Corp. needs to be approved by the Enron Corp. project manager. To validate the change request, the initiator must document the priority of the change (critical, important, desirable), the description of the proposed change, the reason for the change, and implications of not making the change, related change requests, and any other pertinent information. Once the change request is submitted to the Enron Corp. project manager, it is logged to track its status.  Authorized change orders become part of the statement of work.</w:t>
      </w:r>
    </w:p>
    <w:p>
      <w:pPr>
        <w:pStyle w:val="ListBullet"/>
        <w:numPr>
          <w:ilvl w:val="0"/>
          <w:numId w:val="5"/>
        </w:numPr>
        <w:rPr/>
      </w:pPr>
      <w:r>
        <w:rPr/>
        <w:t>Investigate the change request</w:t>
      </w:r>
    </w:p>
    <w:p>
      <w:pPr>
        <w:pStyle w:val="ListBulletText"/>
        <w:numPr>
          <w:ilvl w:val="0"/>
          <w:numId w:val="0"/>
        </w:numPr>
        <w:ind w:hanging="0" w:start="1260" w:end="0"/>
        <w:rPr>
          <w:rFonts w:ascii="Times New Roman" w:hAnsi="Times New Roman" w:cs="Times New Roman"/>
          <w:sz w:val="22"/>
        </w:rPr>
      </w:pPr>
      <w:r>
        <w:rPr>
          <w:rFonts w:cs="Times New Roman" w:ascii="Times New Roman" w:hAnsi="Times New Roman"/>
          <w:sz w:val="22"/>
        </w:rPr>
        <w:t>Razorfish will assign a resource to assess the project-related impacts, assess the external impacts, and document the recommendation.  This information is then provided to the Enron Corp. project manager.  An investigation might have cost and schedule impacts and in some cases might become a change order in itself.</w:t>
      </w:r>
    </w:p>
    <w:p>
      <w:pPr>
        <w:pStyle w:val="ListBullet"/>
        <w:numPr>
          <w:ilvl w:val="0"/>
          <w:numId w:val="5"/>
        </w:numPr>
        <w:rPr/>
      </w:pPr>
      <w:r>
        <w:rPr/>
        <w:t>Conclude change requests</w:t>
      </w:r>
    </w:p>
    <w:p>
      <w:pPr>
        <w:pStyle w:val="ListBulletText"/>
        <w:rPr>
          <w:rFonts w:ascii="Times New Roman" w:hAnsi="Times New Roman" w:cs="Times New Roman"/>
        </w:rPr>
      </w:pPr>
      <w:r>
        <w:rPr>
          <w:rFonts w:cs="Times New Roman" w:ascii="Times New Roman" w:hAnsi="Times New Roman"/>
          <w:sz w:val="22"/>
        </w:rPr>
        <w:t>On a regular basis, the Enron Corp. project manager will determine whether or not the individual, open change requests should be implemented, and then, when the approved changes should be made.</w:t>
      </w:r>
    </w:p>
    <w:p>
      <w:pPr>
        <w:pStyle w:val="Normal"/>
        <w:rPr>
          <w:rFonts w:ascii="Times New Roman" w:hAnsi="Times New Roman" w:cs="Times New Roman"/>
        </w:rPr>
      </w:pPr>
      <w:r>
        <w:rPr>
          <w:rFonts w:cs="Times New Roman"/>
        </w:rPr>
      </w:r>
    </w:p>
    <w:p>
      <w:pPr>
        <w:pStyle w:val="Normal"/>
        <w:rPr/>
      </w:pPr>
      <w:r>
        <w:rPr/>
      </w:r>
    </w:p>
    <w:p>
      <w:pPr>
        <w:pStyle w:val="Heading1"/>
        <w:spacing w:before="0" w:after="120"/>
        <w:ind w:hanging="0" w:start="0"/>
        <w:rPr/>
      </w:pPr>
      <w:r>
        <w:rPr/>
      </w:r>
    </w:p>
    <w:sectPr>
      <w:headerReference w:type="default" r:id="rId2"/>
      <w:footerReference w:type="default" r:id="rId3"/>
      <w:type w:val="nextPage"/>
      <w:pgSz w:orient="landscape" w:w="15840" w:h="12240"/>
      <w:pgMar w:left="2880" w:right="1800" w:gutter="0" w:header="720" w:top="273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540" w:leader="none"/>
      </w:tabs>
      <w:spacing w:lineRule="exact" w:line="290"/>
      <w:ind w:end="-1440"/>
      <w:jc w:val="center"/>
      <w:rPr>
        <w:sz w:val="16"/>
      </w:rPr>
    </w:pPr>
    <w:r>
      <w:rPr>
        <w:sz w:val="16"/>
      </w:rPr>
      <w:t>© Razorfish, Inc., private and confidential, all rights reserved</w:t>
    </w:r>
  </w:p>
  <w:p>
    <w:pPr>
      <w:pStyle w:val="Normal"/>
      <w:tabs>
        <w:tab w:val="clear" w:pos="720"/>
        <w:tab w:val="left" w:pos="9540" w:leader="none"/>
      </w:tabs>
      <w:spacing w:lineRule="exact" w:line="290"/>
      <w:ind w:end="-1440"/>
      <w:jc w:val="center"/>
      <w:rPr>
        <w:sz w:val="16"/>
      </w:rPr>
    </w:pPr>
    <w:r>
      <w:rPr>
        <w:sz w:val="16"/>
      </w:rPr>
      <w:t>June, 2001</w:t>
    </w:r>
  </w:p>
  <w:p>
    <w:pPr>
      <w:pStyle w:val="Normal"/>
      <w:tabs>
        <w:tab w:val="clear" w:pos="720"/>
        <w:tab w:val="left" w:pos="9540" w:leader="none"/>
      </w:tabs>
      <w:spacing w:lineRule="exact" w:line="290"/>
      <w:ind w:end="-14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Black" w:hAnsi="Arial Black" w:cs="Arial Black"/>
        <w:sz w:val="24"/>
        <w:lang w:val="en-CA" w:eastAsia="en-CA"/>
      </w:rPr>
    </w:pPr>
    <w:r>
      <w:rPr>
        <w:rFonts w:cs="Arial Black" w:ascii="Arial Black" w:hAnsi="Arial Black"/>
        <w:sz w:val="24"/>
        <w:lang w:val="en-CA" w:eastAsia="en-CA"/>
      </w:rPr>
      <w:object w:dxaOrig="2534" w:dyaOrig="484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pt;margin-top:36pt;width:126.7pt;height:242.1pt;mso-wrap-distance-left:9.05pt;mso-wrap-distance-right:9.05pt;mso-position-horizontal-relative:page;mso-position-vertical-relative:page" filled="f" o:ole="">
          <v:imagedata r:id="rId2" o:title=""/>
          <w10:wrap type="topAndBottom"/>
        </v:shape>
        <o:OLEObject Type="Embed" ProgID="" ShapeID="ole_rId1" DrawAspect="Content" ObjectID="_1107782629" r:id="rId1"/>
      </w:object>
      <w:drawing>
        <wp:anchor behindDoc="0" distT="0" distB="0" distL="114935" distR="114935" simplePos="0" locked="0" layoutInCell="0" allowOverlap="1" relativeHeight="25">
          <wp:simplePos x="0" y="0"/>
          <wp:positionH relativeFrom="column">
            <wp:posOffset>4623435</wp:posOffset>
          </wp:positionH>
          <wp:positionV relativeFrom="paragraph">
            <wp:posOffset>231140</wp:posOffset>
          </wp:positionV>
          <wp:extent cx="2293620" cy="4902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26" t="-122" r="-26" b="-122"/>
                  <a:stretch>
                    <a:fillRect/>
                  </a:stretch>
                </pic:blipFill>
                <pic:spPr bwMode="auto">
                  <a:xfrm>
                    <a:off x="0" y="0"/>
                    <a:ext cx="2293620" cy="49022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19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627"/>
        </w:tabs>
        <w:ind w:start="1627"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numFmt w:val="decimal"/>
      <w:lvlText w:val="%1"/>
      <w:lvlJc w:val="start"/>
      <w:pPr>
        <w:tabs>
          <w:tab w:val="num" w:pos="0"/>
        </w:tabs>
        <w:ind w:start="0" w:hanging="0"/>
      </w:pPr>
    </w:lvl>
  </w:abstractNum>
  <w:abstractNum w:abstractNumId="8">
    <w:lvl w:ilvl="0">
      <w:start w:val="1"/>
      <w:numFmt w:val="decimal"/>
      <w:lvlText w:val="%1."/>
      <w:lvlJc w:val="start"/>
      <w:pPr>
        <w:tabs>
          <w:tab w:val="num" w:pos="720"/>
        </w:tabs>
        <w:ind w:start="360" w:hanging="360"/>
      </w:pPr>
    </w:lvl>
    <w:lvl w:ilvl="1">
      <w:start w:val="1"/>
      <w:numFmt w:val="decimal"/>
      <w:lvlText w:val="%1.%2."/>
      <w:lvlJc w:val="start"/>
      <w:pPr>
        <w:tabs>
          <w:tab w:val="num" w:pos="1440"/>
        </w:tabs>
        <w:ind w:start="792" w:hanging="432"/>
      </w:pPr>
    </w:lvl>
    <w:lvl w:ilvl="2">
      <w:start w:val="1"/>
      <w:numFmt w:val="decimal"/>
      <w:lvlText w:val="%1.%2.%3."/>
      <w:lvlJc w:val="start"/>
      <w:pPr>
        <w:tabs>
          <w:tab w:val="num" w:pos="2160"/>
        </w:tabs>
        <w:ind w:start="1224" w:hanging="504"/>
      </w:pPr>
    </w:lvl>
    <w:lvl w:ilvl="3">
      <w:start w:val="1"/>
      <w:numFmt w:val="decimal"/>
      <w:lvlText w:val="%1.%2.%3.%4."/>
      <w:lvlJc w:val="start"/>
      <w:pPr>
        <w:tabs>
          <w:tab w:val="num" w:pos="2880"/>
        </w:tabs>
        <w:ind w:start="1728" w:hanging="648"/>
      </w:pPr>
    </w:lvl>
    <w:lvl w:ilvl="4">
      <w:start w:val="1"/>
      <w:numFmt w:val="decimal"/>
      <w:lvlText w:val="%1.%2.%3.%4.%5."/>
      <w:lvlJc w:val="start"/>
      <w:pPr>
        <w:tabs>
          <w:tab w:val="num" w:pos="3600"/>
        </w:tabs>
        <w:ind w:start="2232" w:hanging="792"/>
      </w:pPr>
    </w:lvl>
    <w:lvl w:ilvl="5">
      <w:start w:val="1"/>
      <w:numFmt w:val="decimal"/>
      <w:lvlText w:val="%1.%2.%3.%4.%5.%6."/>
      <w:lvlJc w:val="start"/>
      <w:pPr>
        <w:tabs>
          <w:tab w:val="num" w:pos="4320"/>
        </w:tabs>
        <w:ind w:start="2736" w:hanging="936"/>
      </w:pPr>
    </w:lvl>
    <w:lvl w:ilvl="6">
      <w:start w:val="1"/>
      <w:numFmt w:val="decimal"/>
      <w:lvlText w:val="%1.%2.%3.%4.%5.%6.%7."/>
      <w:lvlJc w:val="start"/>
      <w:pPr>
        <w:tabs>
          <w:tab w:val="num" w:pos="5040"/>
        </w:tabs>
        <w:ind w:start="3240" w:hanging="1080"/>
      </w:pPr>
    </w:lvl>
    <w:lvl w:ilvl="7">
      <w:start w:val="1"/>
      <w:numFmt w:val="decimal"/>
      <w:lvlText w:val="%1.%2.%3.%4.%5.%6.%7.%8."/>
      <w:lvlJc w:val="start"/>
      <w:pPr>
        <w:tabs>
          <w:tab w:val="num" w:pos="5760"/>
        </w:tabs>
        <w:ind w:start="3744" w:hanging="1224"/>
      </w:pPr>
    </w:lvl>
    <w:lvl w:ilvl="8">
      <w:start w:val="1"/>
      <w:numFmt w:val="decimal"/>
      <w:lvlText w:val="%1.%2.%3.%4.%5.%6.%7.%8.%9."/>
      <w:lvlJc w:val="start"/>
      <w:pPr>
        <w:tabs>
          <w:tab w:val="num" w:pos="6480"/>
        </w:tabs>
        <w:ind w:start="4320" w:hanging="144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360"/>
        </w:tabs>
        <w:ind w:start="2250" w:hanging="360"/>
      </w:pPr>
      <w:rPr>
        <w:rFonts w:ascii="Wingdings" w:hAnsi="Wingdings" w:cs="Wingdings" w:hint="default"/>
      </w:rPr>
    </w:lvl>
  </w:abstractNum>
  <w:abstractNum w:abstractNumId="11">
    <w:lvl w:ilvl="0">
      <w:numFmt w:val="bullet"/>
      <w:lvlText w:val=""/>
      <w:lvlJc w:val="start"/>
      <w:pPr>
        <w:tabs>
          <w:tab w:val="num" w:pos="720"/>
        </w:tabs>
        <w:ind w:start="2074" w:hanging="720"/>
      </w:pPr>
      <w:rPr>
        <w:rFonts w:ascii="Symbol" w:hAnsi="Symbol" w:cs="Symbol" w:hint="default"/>
      </w:rPr>
    </w:lvl>
  </w:abstractNum>
  <w:abstractNum w:abstractNumId="12">
    <w:lvl w:ilvl="0">
      <w:numFmt w:val="bullet"/>
      <w:lvlText w:val=""/>
      <w:lvlJc w:val="start"/>
      <w:pPr>
        <w:tabs>
          <w:tab w:val="num" w:pos="432"/>
        </w:tabs>
        <w:ind w:start="2322" w:hanging="432"/>
      </w:pPr>
      <w:rPr>
        <w:rFonts w:ascii="Wingdings" w:hAnsi="Wingdings" w:cs="Wingdings" w:hint="default"/>
      </w:r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Arial Black" w:hAnsi="Arial Black" w:cs="Arial Black"/>
      <w:kern w:val="2"/>
      <w:sz w:val="32"/>
    </w:rPr>
  </w:style>
  <w:style w:type="paragraph" w:styleId="Heading2">
    <w:name w:val="heading 2"/>
    <w:basedOn w:val="Normal"/>
    <w:next w:val="Normal"/>
    <w:qFormat/>
    <w:pPr>
      <w:keepNext w:val="true"/>
      <w:numPr>
        <w:ilvl w:val="1"/>
        <w:numId w:val="1"/>
      </w:numPr>
      <w:spacing w:before="0" w:after="120"/>
      <w:outlineLvl w:val="1"/>
    </w:pPr>
    <w:rPr>
      <w:rFonts w:ascii="Arial Black" w:hAnsi="Arial Black" w:cs="Arial Black"/>
      <w:sz w:val="28"/>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sz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val="true"/>
      <w:numPr>
        <w:ilvl w:val="5"/>
        <w:numId w:val="1"/>
      </w:numPr>
      <w:outlineLvl w:val="5"/>
    </w:pPr>
    <w:rPr>
      <w:b/>
      <w:bCs/>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b w:val="false"/>
      <w:i w:val="false"/>
      <w:sz w:val="20"/>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b w:val="false"/>
      <w:i w:val="false"/>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40"/>
    </w:rPr>
  </w:style>
  <w:style w:type="character" w:styleId="WW8Num14z0">
    <w:name w:val="WW8Num14z0"/>
    <w:qFormat/>
    <w:rPr>
      <w:b w:val="false"/>
      <w:i w:val="false"/>
      <w:sz w:val="20"/>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b w:val="false"/>
      <w:i w:val="false"/>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b w:val="false"/>
      <w:i w:val="false"/>
      <w:sz w:val="20"/>
    </w:rPr>
  </w:style>
  <w:style w:type="character" w:styleId="WW8Num26z0">
    <w:name w:val="WW8Num26z0"/>
    <w:qFormat/>
    <w:rPr>
      <w:rFonts w:ascii="Monotype Sorts" w:hAnsi="Monotype Sorts" w:cs="Monotype Sorts"/>
      <w:sz w:val="2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b w:val="false"/>
      <w:i w:val="false"/>
      <w:sz w:val="2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Monotype Sorts" w:hAnsi="Monotype Sorts" w:cs="Symbol"/>
      <w:sz w:val="20"/>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b w:val="false"/>
      <w:i w:val="false"/>
      <w:sz w:val="20"/>
    </w:rPr>
  </w:style>
  <w:style w:type="character" w:styleId="WW8Num38z0">
    <w:name w:val="WW8Num38z0"/>
    <w:qFormat/>
    <w:rPr>
      <w:rFonts w:ascii="Wingdings" w:hAnsi="Wingdings" w:cs="Wingdings"/>
      <w:sz w:val="16"/>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40z0">
    <w:name w:val="WW8Num40z0"/>
    <w:qFormat/>
    <w:rPr>
      <w:rFonts w:ascii="Wingdings" w:hAnsi="Wingdings" w:cs="Wingdings"/>
      <w:sz w:val="16"/>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4z0">
    <w:name w:val="WW8Num44z0"/>
    <w:qFormat/>
    <w:rPr>
      <w:b w:val="false"/>
      <w:i w:val="false"/>
      <w:sz w:val="20"/>
    </w:rPr>
  </w:style>
  <w:style w:type="character" w:styleId="WW8Num46z0">
    <w:name w:val="WW8Num46z0"/>
    <w:qFormat/>
    <w:rPr>
      <w:rFonts w:ascii="Wingdings" w:hAnsi="Wingdings" w:cs="Wingdings"/>
      <w:sz w:val="16"/>
    </w:rPr>
  </w:style>
  <w:style w:type="character" w:styleId="WW8Num46z1">
    <w:name w:val="WW8Num46z1"/>
    <w:qFormat/>
    <w:rPr>
      <w:rFonts w:ascii="Symbol" w:hAnsi="Symbol" w:cs="Symbol"/>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b w:val="false"/>
      <w:i w:val="false"/>
      <w:sz w:val="20"/>
    </w:rPr>
  </w:style>
  <w:style w:type="character" w:styleId="WW8Num48z0">
    <w:name w:val="WW8Num48z0"/>
    <w:qFormat/>
    <w:rPr>
      <w:b w:val="false"/>
      <w:i w:val="false"/>
      <w:sz w:val="20"/>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sz w:val="16"/>
    </w:rPr>
  </w:style>
  <w:style w:type="character" w:styleId="WW8Num51z1">
    <w:name w:val="WW8Num51z1"/>
    <w:qFormat/>
    <w:rPr>
      <w:rFonts w:ascii="Symbol" w:hAnsi="Symbol" w:cs="Symbol"/>
    </w:rPr>
  </w:style>
  <w:style w:type="character" w:styleId="WW8Num51z2">
    <w:name w:val="WW8Num51z2"/>
    <w:qFormat/>
    <w:rPr>
      <w:rFonts w:ascii="Wingdings" w:hAnsi="Wingdings" w:cs="Wingdings"/>
    </w:rPr>
  </w:style>
  <w:style w:type="character" w:styleId="WW8Num51z4">
    <w:name w:val="WW8Num51z4"/>
    <w:qFormat/>
    <w:rPr>
      <w:rFonts w:ascii="Courier New" w:hAnsi="Courier New" w:cs="Courier New"/>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4z0">
    <w:name w:val="WW8Num54z0"/>
    <w:qFormat/>
    <w:rPr>
      <w:rFonts w:ascii="Wingdings" w:hAnsi="Wingdings" w:cs="Wingdings"/>
      <w:sz w:val="16"/>
    </w:rPr>
  </w:style>
  <w:style w:type="character" w:styleId="WW8Num54z1">
    <w:name w:val="WW8Num54z1"/>
    <w:qFormat/>
    <w:rPr>
      <w:rFonts w:ascii="Symbol" w:hAnsi="Symbol" w:cs="Symbol"/>
    </w:rPr>
  </w:style>
  <w:style w:type="character" w:styleId="WW8Num54z2">
    <w:name w:val="WW8Num54z2"/>
    <w:qFormat/>
    <w:rPr>
      <w:rFonts w:ascii="Wingdings" w:hAnsi="Wingdings" w:cs="Wingdings"/>
    </w:rPr>
  </w:style>
  <w:style w:type="character" w:styleId="WW8Num54z4">
    <w:name w:val="WW8Num54z4"/>
    <w:qFormat/>
    <w:rPr>
      <w:rFonts w:ascii="Courier New" w:hAnsi="Courier New" w:cs="Courier New"/>
    </w:rPr>
  </w:style>
  <w:style w:type="character" w:styleId="WW8Num55z0">
    <w:name w:val="WW8Num55z0"/>
    <w:qFormat/>
    <w:rPr>
      <w:b w:val="false"/>
      <w:i w:val="false"/>
      <w:sz w:val="20"/>
    </w:rPr>
  </w:style>
  <w:style w:type="character" w:styleId="WW8Num56z0">
    <w:name w:val="WW8Num56z0"/>
    <w:qFormat/>
    <w:rPr>
      <w:rFonts w:ascii="Monotype Sorts" w:hAnsi="Monotype Sorts" w:cs="Monotype Sorts"/>
      <w:sz w:val="20"/>
    </w:rPr>
  </w:style>
  <w:style w:type="character" w:styleId="WW8Num57z0">
    <w:name w:val="WW8Num57z0"/>
    <w:qFormat/>
    <w:rPr>
      <w:rFonts w:ascii="Symbol" w:hAnsi="Symbol" w:cs="Symbol"/>
    </w:rPr>
  </w:style>
  <w:style w:type="character" w:styleId="WW8Num58z0">
    <w:name w:val="WW8Num58z0"/>
    <w:qFormat/>
    <w:rPr>
      <w:rFonts w:ascii="Wingdings" w:hAnsi="Wingdings" w:cs="Wingdings"/>
      <w:sz w:val="16"/>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Symbol" w:hAnsi="Symbol" w:cs="Symbol"/>
      <w:sz w:val="20"/>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Wingdings" w:hAnsi="Wingdings" w:cs="Wingdings"/>
      <w:sz w:val="16"/>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b w:val="false"/>
      <w:i w:val="false"/>
      <w:sz w:val="20"/>
    </w:rPr>
  </w:style>
  <w:style w:type="character" w:styleId="WW8Num63z0">
    <w:name w:val="WW8Num63z0"/>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5z0">
    <w:name w:val="WW8Num65z0"/>
    <w:qFormat/>
    <w:rPr>
      <w:rFonts w:ascii="Wingdings" w:hAnsi="Wingdings" w:cs="Wingdings"/>
      <w:sz w:val="16"/>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sz w:val="16"/>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b w:val="false"/>
      <w:i w:val="false"/>
      <w:sz w:val="20"/>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rFonts w:ascii="Wingdings" w:hAnsi="Wingdings" w:cs="Wingdings"/>
    </w:rPr>
  </w:style>
  <w:style w:type="character" w:styleId="WW8NumSt7z0">
    <w:name w:val="WW8NumSt7z0"/>
    <w:qFormat/>
    <w:rPr>
      <w:rFonts w:ascii="Monotype Sorts" w:hAnsi="Monotype Sorts" w:cs="Monotype Sorts"/>
      <w:sz w:val="20"/>
    </w:rPr>
  </w:style>
  <w:style w:type="character" w:styleId="WW8NumSt7z1">
    <w:name w:val="WW8NumSt7z1"/>
    <w:qFormat/>
    <w:rPr>
      <w:rFonts w:ascii="Courier New" w:hAnsi="Courier New" w:cs="Courier New"/>
    </w:rPr>
  </w:style>
  <w:style w:type="character" w:styleId="WW8NumSt7z2">
    <w:name w:val="WW8NumSt7z2"/>
    <w:qFormat/>
    <w:rPr>
      <w:rFonts w:ascii="Wingdings" w:hAnsi="Wingdings" w:cs="Wingdings"/>
    </w:rPr>
  </w:style>
  <w:style w:type="character" w:styleId="WW8NumSt7z3">
    <w:name w:val="WW8NumSt7z3"/>
    <w:qFormat/>
    <w:rPr>
      <w:rFonts w:ascii="Symbol" w:hAnsi="Symbol" w:cs="Symbol"/>
    </w:rPr>
  </w:style>
  <w:style w:type="character" w:styleId="WW8NumSt8z0">
    <w:name w:val="WW8NumSt8z0"/>
    <w:qFormat/>
    <w:rPr>
      <w:rFonts w:ascii="Symbol" w:hAnsi="Symbol" w:cs="Symbol"/>
      <w:sz w:val="20"/>
    </w:rPr>
  </w:style>
  <w:style w:type="character" w:styleId="WW8NumSt9z0">
    <w:name w:val="WW8NumSt9z0"/>
    <w:qFormat/>
    <w:rPr>
      <w:rFonts w:ascii="Wingdings" w:hAnsi="Wingdings" w:cs="Wingdings"/>
    </w:rPr>
  </w:style>
  <w:style w:type="character" w:styleId="WW8NumSt11z0">
    <w:name w:val="WW8NumSt11z0"/>
    <w:qFormat/>
    <w:rPr>
      <w:rFonts w:ascii="Wingdings" w:hAnsi="Wingdings" w:cs="Wingdings"/>
    </w:rPr>
  </w:style>
  <w:style w:type="character" w:styleId="WW8NumSt30z0">
    <w:name w:val="WW8NumSt30z0"/>
    <w:qFormat/>
    <w:rPr>
      <w:rFonts w:ascii="Times" w:hAnsi="Times" w:cs="Times"/>
      <w:sz w:val="20"/>
    </w:rPr>
  </w:style>
  <w:style w:type="character" w:styleId="WW8NumSt31z0">
    <w:name w:val="WW8NumSt31z0"/>
    <w:qFormat/>
    <w:rPr>
      <w:rFonts w:ascii="Symbol" w:hAnsi="Symbol" w:cs="Symbol"/>
      <w:sz w:val="20"/>
    </w:rPr>
  </w:style>
  <w:style w:type="character" w:styleId="WW8NumSt33z0">
    <w:name w:val="WW8NumSt33z0"/>
    <w:qFormat/>
    <w:rPr>
      <w:rFonts w:ascii="Times" w:hAnsi="Times" w:cs="Times"/>
      <w:sz w:val="20"/>
    </w:rPr>
  </w:style>
  <w:style w:type="character" w:styleId="WW8NumSt49z0">
    <w:name w:val="WW8NumSt49z0"/>
    <w:qFormat/>
    <w:rPr>
      <w:rFonts w:ascii="Helvetica" w:hAnsi="Helvetica" w:cs="Helvetica"/>
      <w:sz w:val="20"/>
    </w:rPr>
  </w:style>
  <w:style w:type="character" w:styleId="WW8NumSt50z0">
    <w:name w:val="WW8NumSt50z0"/>
    <w:qFormat/>
    <w:rPr>
      <w:rFonts w:ascii="Courier" w:hAnsi="Courier" w:cs="Courier"/>
    </w:rPr>
  </w:style>
  <w:style w:type="character" w:styleId="WW8NumSt59z0">
    <w:name w:val="WW8NumSt59z0"/>
    <w:qFormat/>
    <w:rPr>
      <w:rFonts w:ascii="Courier" w:hAnsi="Courier" w:cs="Courier"/>
    </w:rPr>
  </w:style>
  <w:style w:type="character" w:styleId="WW8NumSt60z0">
    <w:name w:val="WW8NumSt60z0"/>
    <w:qFormat/>
    <w:rPr>
      <w:rFonts w:ascii="Courier" w:hAnsi="Courier" w:cs="Courier"/>
    </w:rPr>
  </w:style>
  <w:style w:type="character" w:styleId="WW8NumSt61z0">
    <w:name w:val="WW8NumSt61z0"/>
    <w:qFormat/>
    <w:rPr>
      <w:rFonts w:ascii="Courier" w:hAnsi="Courier" w:cs="Courier"/>
    </w:rPr>
  </w:style>
  <w:style w:type="character" w:styleId="WW8NumSt62z0">
    <w:name w:val="WW8NumSt62z0"/>
    <w:qFormat/>
    <w:rPr>
      <w:rFonts w:ascii="Courier" w:hAnsi="Courier" w:cs="Courier"/>
    </w:rPr>
  </w:style>
  <w:style w:type="character" w:styleId="WW8NumSt63z0">
    <w:name w:val="WW8NumSt63z0"/>
    <w:qFormat/>
    <w:rPr>
      <w:rFonts w:ascii="Courier" w:hAnsi="Courier" w:cs="Courier"/>
    </w:rPr>
  </w:style>
  <w:style w:type="character" w:styleId="WW8NumSt64z0">
    <w:name w:val="WW8NumSt64z0"/>
    <w:qFormat/>
    <w:rPr>
      <w:rFonts w:ascii="Courier" w:hAnsi="Courier" w:cs="Courier"/>
    </w:rPr>
  </w:style>
  <w:style w:type="character" w:styleId="WW8NumSt79z0">
    <w:name w:val="WW8NumSt79z0"/>
    <w:qFormat/>
    <w:rPr>
      <w:rFonts w:ascii="Times" w:hAnsi="Times" w:cs="Time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0" w:after="240"/>
      <w:outlineLvl w:val="0"/>
    </w:pPr>
    <w:rPr>
      <w:rFonts w:ascii="Arial Black" w:hAnsi="Arial Black" w:cs="Arial Black"/>
      <w:b/>
      <w:kern w:val="2"/>
      <w:sz w:val="36"/>
    </w:rPr>
  </w:style>
  <w:style w:type="paragraph" w:styleId="BodyText">
    <w:name w:val="Body Text"/>
    <w:basedOn w:val="Normal"/>
    <w:pPr>
      <w:spacing w:before="0" w:after="120"/>
    </w:pPr>
    <w:rPr>
      <w:sz w:val="22"/>
    </w:rPr>
  </w:style>
  <w:style w:type="paragraph" w:styleId="List">
    <w:name w:val="List"/>
    <w:basedOn w:val="BodyText"/>
    <w:pPr/>
    <w:rPr>
      <w:rFonts w:cs="NotoSans NF"/>
    </w:rPr>
  </w:style>
  <w:style w:type="paragraph" w:styleId="Caption">
    <w:name w:val="caption"/>
    <w:basedOn w:val="Normal"/>
    <w:next w:val="Normal"/>
    <w:qFormat/>
    <w:pPr>
      <w:spacing w:before="120" w:after="120"/>
      <w:jc w:val="center"/>
    </w:pPr>
    <w:rPr>
      <w:sz w:val="18"/>
    </w:rPr>
  </w:style>
  <w:style w:type="paragraph" w:styleId="Index">
    <w:name w:val="Index"/>
    <w:basedOn w:val="Normal"/>
    <w:qFormat/>
    <w:pPr>
      <w:suppressLineNumbers/>
    </w:pPr>
    <w:rPr>
      <w:rFonts w:cs="NotoSans NF"/>
    </w:rPr>
  </w:style>
  <w:style w:type="paragraph" w:styleId="BulletedList">
    <w:name w:val="Bulleted List"/>
    <w:basedOn w:val="Normal"/>
    <w:qFormat/>
    <w:pPr>
      <w:numPr>
        <w:ilvl w:val="0"/>
        <w:numId w:val="9"/>
      </w:numPr>
    </w:pPr>
    <w:rPr>
      <w:rFonts w:ascii="Times New Roman" w:hAnsi="Times New Roman" w:cs="Times New Roman"/>
      <w:sz w:val="20"/>
    </w:rPr>
  </w:style>
  <w:style w:type="paragraph" w:styleId="ListTitle">
    <w:name w:val="List Title"/>
    <w:basedOn w:val="Normal"/>
    <w:qFormat/>
    <w:pPr/>
    <w:rPr>
      <w:rFonts w:ascii="Times New Roman" w:hAnsi="Times New Roman" w:cs="Times New Roman"/>
      <w:b/>
      <w:sz w:val="20"/>
    </w:rPr>
  </w:style>
  <w:style w:type="paragraph" w:styleId="NumberedList">
    <w:name w:val="Numbered List"/>
    <w:basedOn w:val="Normal"/>
    <w:qFormat/>
    <w:pPr>
      <w:numPr>
        <w:ilvl w:val="0"/>
        <w:numId w:val="6"/>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5"/>
      </w:numPr>
      <w:tabs>
        <w:tab w:val="clear" w:pos="720"/>
      </w:tabs>
      <w:spacing w:before="60" w:after="20"/>
      <w:ind w:hanging="0" w:start="900" w:end="0"/>
    </w:pPr>
    <w:rPr>
      <w:sz w:val="22"/>
    </w:rPr>
  </w:style>
  <w:style w:type="paragraph" w:styleId="ListBullet2">
    <w:name w:val="List Bullet 2"/>
    <w:basedOn w:val="Normal"/>
    <w:qFormat/>
    <w:pPr>
      <w:numPr>
        <w:ilvl w:val="0"/>
        <w:numId w:val="7"/>
      </w:numPr>
      <w:tabs>
        <w:tab w:val="left" w:pos="720" w:leader="none"/>
      </w:tabs>
      <w:ind w:hanging="360" w:start="2520" w:end="0"/>
    </w:pPr>
    <w:rPr/>
  </w:style>
  <w:style w:type="paragraph" w:styleId="ListBulletText">
    <w:name w:val="List Bullet Text"/>
    <w:basedOn w:val="Normal"/>
    <w:qFormat/>
    <w:pPr>
      <w:spacing w:before="0" w:after="60"/>
      <w:ind w:hanging="0" w:start="1260" w:end="0"/>
    </w:pPr>
    <w:rPr>
      <w:rFonts w:ascii="Arial" w:hAnsi="Arial" w:cs="Arial"/>
    </w:rPr>
  </w:style>
  <w:style w:type="paragraph" w:styleId="ListBulletDash">
    <w:name w:val="List Bullet Dash"/>
    <w:basedOn w:val="ListBulletText"/>
    <w:qFormat/>
    <w:pPr>
      <w:numPr>
        <w:ilvl w:val="0"/>
        <w:numId w:val="2"/>
      </w:numPr>
      <w:tabs>
        <w:tab w:val="clear" w:pos="720"/>
        <w:tab w:val="left" w:pos="0" w:leader="none"/>
      </w:tabs>
      <w:spacing w:before="60" w:after="0"/>
    </w:pPr>
    <w:rPr>
      <w:rFonts w:ascii="Times New Roman" w:hAnsi="Times New Roman" w:cs="Times New Roman"/>
      <w:sz w:val="22"/>
    </w:rPr>
  </w:style>
  <w:style w:type="paragraph" w:styleId="ListBulletDashText">
    <w:name w:val="List Bullet Dash Text"/>
    <w:basedOn w:val="Normal"/>
    <w:qFormat/>
    <w:pPr>
      <w:ind w:hanging="0" w:start="1620" w:end="0"/>
    </w:pPr>
    <w:rPr>
      <w:rFonts w:ascii="Arial" w:hAnsi="Arial" w:cs="Arial"/>
    </w:rPr>
  </w:style>
  <w:style w:type="paragraph" w:styleId="ListBulletDashTextNumbered">
    <w:name w:val="List Bullet Dash Text Numbered"/>
    <w:basedOn w:val="ListBulletDashText"/>
    <w:qFormat/>
    <w:pPr>
      <w:numPr>
        <w:ilvl w:val="0"/>
        <w:numId w:val="13"/>
      </w:numPr>
      <w:ind w:hanging="180" w:start="2070" w:end="0"/>
    </w:pPr>
    <w:rPr/>
  </w:style>
  <w:style w:type="paragraph" w:styleId="ListDot">
    <w:name w:val="List Dot"/>
    <w:basedOn w:val="ListBulletDashTextNumbered"/>
    <w:qFormat/>
    <w:pPr>
      <w:numPr>
        <w:ilvl w:val="0"/>
        <w:numId w:val="14"/>
      </w:numPr>
      <w:tabs>
        <w:tab w:val="clear" w:pos="720"/>
        <w:tab w:val="left" w:pos="360" w:leader="none"/>
      </w:tabs>
      <w:ind w:hanging="360" w:start="1980" w:end="0"/>
    </w:pPr>
    <w:rPr/>
  </w:style>
  <w:style w:type="paragraph" w:styleId="BodyText3">
    <w:name w:val="BodyText3"/>
    <w:basedOn w:val="Normal"/>
    <w:qFormat/>
    <w:pPr>
      <w:numPr>
        <w:ilvl w:val="0"/>
        <w:numId w:val="15"/>
      </w:numPr>
      <w:tabs>
        <w:tab w:val="clear" w:pos="720"/>
        <w:tab w:val="left" w:pos="8640" w:leader="none"/>
      </w:tabs>
      <w:spacing w:before="0" w:after="120"/>
      <w:ind w:hanging="360" w:start="1170" w:end="0"/>
      <w:jc w:val="both"/>
    </w:pPr>
    <w:rPr>
      <w:color w:val="000000"/>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1310" w:end="0"/>
    </w:pPr>
    <w:rPr>
      <w:rFonts w:ascii="Arial" w:hAnsi="Arial" w:cs="Arial"/>
      <w:sz w:val="22"/>
    </w:rPr>
  </w:style>
  <w:style w:type="paragraph" w:styleId="Subtitle">
    <w:name w:val="Subtitle"/>
    <w:basedOn w:val="Normal"/>
    <w:next w:val="BodyText"/>
    <w:qFormat/>
    <w:pPr>
      <w:jc w:val="end"/>
    </w:pPr>
    <w:rPr>
      <w:rFonts w:ascii="Arial" w:hAnsi="Arial" w:cs="Arial"/>
      <w:smallCaps/>
      <w:sz w:val="44"/>
    </w:rPr>
  </w:style>
  <w:style w:type="paragraph" w:styleId="ListContinue2">
    <w:name w:val="List Continue 2"/>
    <w:basedOn w:val="Normal"/>
    <w:qFormat/>
    <w:pPr>
      <w:spacing w:before="0" w:after="120"/>
      <w:ind w:hanging="0" w:start="720" w:end="0"/>
    </w:pPr>
    <w:rPr/>
  </w:style>
  <w:style w:type="paragraph" w:styleId="listbulleted">
    <w:name w:val="list bulleted"/>
    <w:basedOn w:val="Normal"/>
    <w:qFormat/>
    <w:pPr/>
    <w:rPr/>
  </w:style>
  <w:style w:type="paragraph" w:styleId="ListDash">
    <w:name w:val="List Dash"/>
    <w:basedOn w:val="ListDot"/>
    <w:qFormat/>
    <w:pPr>
      <w:numPr>
        <w:ilvl w:val="0"/>
        <w:numId w:val="10"/>
      </w:numPr>
      <w:tabs>
        <w:tab w:val="clear" w:pos="360"/>
      </w:tabs>
      <w:ind w:hanging="360" w:start="1714"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Landscape</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2001-06-27T00:17:00Z</dcterms:created>
  <dc:creator>WillemD</dc:creator>
  <dc:description/>
  <dc:language>en-CA</dc:language>
  <cp:lastModifiedBy>razorfish razorfish</cp:lastModifiedBy>
  <cp:lastPrinted>2000-02-09T16:22:00Z</cp:lastPrinted>
  <dcterms:modified xsi:type="dcterms:W3CDTF">2001-06-27T00:19:00Z</dcterms:modified>
  <cp:revision>3</cp:revision>
  <dc:subject>eWorkplace Procurement</dc:subject>
  <dc:title>Concur SOW</dc:title>
</cp:coreProperties>
</file>