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 w:val="24"/>
        </w:rPr>
      </w:pPr>
      <w:r>
        <w:rPr>
          <w:sz w:val="24"/>
        </w:rPr>
      </w:r>
    </w:p>
    <w:p>
      <w:pPr>
        <w:pStyle w:val="Normal"/>
        <w:autoSpaceDE w:val="false"/>
        <w:rPr>
          <w:sz w:val="24"/>
        </w:rPr>
      </w:pPr>
      <w:r>
        <w:rPr>
          <w:sz w:val="24"/>
        </w:rPr>
      </w:r>
    </w:p>
    <w:p>
      <w:pPr>
        <w:pStyle w:val="Heading3"/>
        <w:tabs>
          <w:tab w:val="clear" w:pos="720"/>
          <w:tab w:val="left" w:pos="3240" w:leader="none"/>
          <w:tab w:val="left" w:pos="8550" w:leader="none"/>
        </w:tabs>
        <w:autoSpaceDE w:val="false"/>
        <w:spacing w:before="0" w:after="0"/>
        <w:ind w:hanging="0" w:start="0"/>
        <w:rPr>
          <w:rFonts w:ascii="Times New Roman" w:hAnsi="Times New Roman" w:cs="Times New Roman"/>
        </w:rPr>
      </w:pPr>
      <w:r>
        <w:rPr>
          <w:rFonts w:cs="Times New Roman" w:ascii="Times New Roman" w:hAnsi="Times New Roman"/>
        </w:rPr>
        <w:t xml:space="preserve">MEMORANDUM TO:  </w:t>
        <w:tab/>
        <w:t xml:space="preserve">Rick Shapiro </w:t>
      </w:r>
    </w:p>
    <w:p>
      <w:pPr>
        <w:pStyle w:val="Normal"/>
        <w:tabs>
          <w:tab w:val="clear" w:pos="720"/>
          <w:tab w:val="left" w:pos="3240" w:leader="none"/>
          <w:tab w:val="left" w:pos="8550" w:leader="none"/>
        </w:tabs>
        <w:autoSpaceDE w:val="false"/>
        <w:rPr>
          <w:rFonts w:ascii="Times New Roman" w:hAnsi="Times New Roman" w:cs="Times New Roman"/>
          <w:sz w:val="24"/>
        </w:rPr>
      </w:pPr>
      <w:r>
        <w:rPr>
          <w:rFonts w:cs="Times New Roman"/>
          <w:sz w:val="24"/>
        </w:rPr>
      </w:r>
    </w:p>
    <w:p>
      <w:pPr>
        <w:pStyle w:val="Normal"/>
        <w:tabs>
          <w:tab w:val="clear" w:pos="720"/>
          <w:tab w:val="left" w:pos="3240" w:leader="none"/>
          <w:tab w:val="left" w:pos="8550" w:leader="none"/>
        </w:tabs>
        <w:autoSpaceDE w:val="false"/>
        <w:rPr>
          <w:sz w:val="24"/>
        </w:rPr>
      </w:pPr>
      <w:r>
        <w:rPr>
          <w:sz w:val="24"/>
        </w:rPr>
        <w:t xml:space="preserve">FROM: </w:t>
        <w:tab/>
        <w:t>Ralph Reed</w:t>
      </w:r>
    </w:p>
    <w:p>
      <w:pPr>
        <w:pStyle w:val="Normal"/>
        <w:tabs>
          <w:tab w:val="clear" w:pos="720"/>
          <w:tab w:val="left" w:pos="3240" w:leader="none"/>
          <w:tab w:val="left" w:pos="8550" w:leader="none"/>
        </w:tabs>
        <w:autoSpaceDE w:val="false"/>
        <w:rPr>
          <w:sz w:val="24"/>
        </w:rPr>
      </w:pPr>
      <w:r>
        <w:rPr>
          <w:sz w:val="24"/>
        </w:rPr>
      </w:r>
    </w:p>
    <w:p>
      <w:pPr>
        <w:pStyle w:val="Normal"/>
        <w:tabs>
          <w:tab w:val="clear" w:pos="720"/>
          <w:tab w:val="left" w:pos="3240" w:leader="none"/>
          <w:tab w:val="left" w:pos="8550" w:leader="none"/>
        </w:tabs>
        <w:autoSpaceDE w:val="false"/>
        <w:rPr>
          <w:sz w:val="24"/>
        </w:rPr>
      </w:pPr>
      <w:r>
        <w:rPr>
          <w:sz w:val="24"/>
        </w:rPr>
        <w:t>DATE:</w:t>
        <w:tab/>
        <w:t>October 23, 2000</w:t>
      </w:r>
    </w:p>
    <w:p>
      <w:pPr>
        <w:pStyle w:val="Normal"/>
        <w:tabs>
          <w:tab w:val="clear" w:pos="720"/>
          <w:tab w:val="left" w:pos="3240" w:leader="none"/>
          <w:tab w:val="left" w:pos="8550" w:leader="none"/>
        </w:tabs>
        <w:autoSpaceDE w:val="false"/>
        <w:rPr>
          <w:sz w:val="24"/>
        </w:rPr>
      </w:pPr>
      <w:r>
        <w:rPr>
          <w:sz w:val="24"/>
        </w:rPr>
      </w:r>
    </w:p>
    <w:p>
      <w:pPr>
        <w:pStyle w:val="Normal"/>
        <w:tabs>
          <w:tab w:val="clear" w:pos="720"/>
          <w:tab w:val="left" w:pos="3240" w:leader="none"/>
          <w:tab w:val="left" w:pos="8550" w:leader="none"/>
        </w:tabs>
        <w:autoSpaceDE w:val="false"/>
        <w:rPr>
          <w:sz w:val="24"/>
        </w:rPr>
      </w:pPr>
      <w:r>
        <w:rPr>
          <w:sz w:val="24"/>
        </w:rPr>
        <w:t xml:space="preserve">SUBJ: </w:t>
        <w:tab/>
        <w:t>Grasstops/Grassroots Program</w:t>
      </w:r>
    </w:p>
    <w:p>
      <w:pPr>
        <w:pStyle w:val="Normal"/>
        <w:tabs>
          <w:tab w:val="clear" w:pos="720"/>
          <w:tab w:val="left" w:pos="8550" w:leader="none"/>
        </w:tabs>
        <w:autoSpaceDE w:val="false"/>
        <w:rPr>
          <w:sz w:val="24"/>
        </w:rPr>
      </w:pPr>
      <w:r>
        <w:rPr>
          <w:sz w:val="24"/>
        </w:rPr>
      </w:r>
    </w:p>
    <w:p>
      <w:pPr>
        <w:pStyle w:val="Normal"/>
        <w:tabs>
          <w:tab w:val="clear" w:pos="720"/>
          <w:tab w:val="left" w:pos="8550" w:leader="none"/>
        </w:tabs>
        <w:autoSpaceDE w:val="false"/>
        <w:rPr>
          <w:sz w:val="24"/>
        </w:rPr>
      </w:pPr>
      <w:r>
        <w:rPr>
          <w:sz w:val="24"/>
        </w:rPr>
      </w:r>
    </w:p>
    <w:p>
      <w:pPr>
        <w:pStyle w:val="Normal"/>
        <w:tabs>
          <w:tab w:val="clear" w:pos="720"/>
          <w:tab w:val="left" w:pos="8550" w:leader="none"/>
        </w:tabs>
        <w:autoSpaceDE w:val="false"/>
        <w:rPr>
          <w:sz w:val="24"/>
        </w:rPr>
      </w:pPr>
      <w:r>
        <w:rPr>
          <w:sz w:val="24"/>
        </w:rPr>
        <w:t>In a previous memo on giving Enron a more effective Washington presence, I underscored the importance of building a strong grassroots infrastructure to support the governmental affairs team.</w:t>
      </w:r>
    </w:p>
    <w:p>
      <w:pPr>
        <w:pStyle w:val="Normal"/>
        <w:tabs>
          <w:tab w:val="clear" w:pos="720"/>
          <w:tab w:val="left" w:pos="8550" w:leader="none"/>
        </w:tabs>
        <w:autoSpaceDE w:val="false"/>
        <w:rPr>
          <w:sz w:val="24"/>
        </w:rPr>
      </w:pPr>
      <w:r>
        <w:rPr>
          <w:sz w:val="24"/>
        </w:rPr>
      </w:r>
    </w:p>
    <w:p>
      <w:pPr>
        <w:pStyle w:val="BodyText"/>
        <w:rPr/>
      </w:pPr>
      <w:r>
        <w:rPr/>
        <w:t xml:space="preserve">There is no hard and fast rule on how to build this capability.  But in general the most successful clients with which our firm works devote at least 25 percent of their overall governmental affairs budget on building grassroots and coalition networks.  The most successful companies and trade associations don’t just focus on the ten square blocks around the U.S. Capitol.  They recognize, as Hedrick Smith presciently argued in </w:t>
      </w:r>
      <w:r>
        <w:rPr>
          <w:i/>
          <w:iCs/>
        </w:rPr>
        <w:t>The Power Game: How Washington Works</w:t>
      </w:r>
      <w:r>
        <w:rPr/>
        <w:t>, that real influence in Washington flows from the outside in, not the other way around.</w:t>
      </w:r>
    </w:p>
    <w:p>
      <w:pPr>
        <w:pStyle w:val="BodyText"/>
        <w:rPr/>
      </w:pPr>
      <w:r>
        <w:rPr/>
      </w:r>
    </w:p>
    <w:p>
      <w:pPr>
        <w:pStyle w:val="BodyText"/>
        <w:rPr/>
      </w:pPr>
      <w:r>
        <w:rPr/>
        <w:t xml:space="preserve">Enron needs to have an ongoing “friends and family” program where leadership and important members of key committees such as the House and Senate Commerce committees receive regular updates on Enron’s issues from those who are part of their political family back home.  This should include but not be limited to: members of their finance committee, state legislators, civic leaders, businessmen, and heads of influential nonprofit organizations.  </w:t>
      </w:r>
    </w:p>
    <w:p>
      <w:pPr>
        <w:pStyle w:val="BodyText"/>
        <w:rPr/>
      </w:pPr>
      <w:r>
        <w:rPr/>
      </w:r>
    </w:p>
    <w:p>
      <w:pPr>
        <w:pStyle w:val="Normal"/>
        <w:tabs>
          <w:tab w:val="clear" w:pos="720"/>
          <w:tab w:val="left" w:pos="8550" w:leader="none"/>
        </w:tabs>
        <w:autoSpaceDE w:val="false"/>
        <w:rPr>
          <w:sz w:val="24"/>
        </w:rPr>
      </w:pPr>
      <w:r>
        <w:rPr>
          <w:sz w:val="24"/>
        </w:rPr>
        <w:t>This memo provides you with a working document that outlines our services and capabilities in terms of grassroots, grasstops, and coalition-building on behalf of Enron and its issues.  I want to underscore that this is intended as a conceptual framework and management tool; we are a loyal member of your team and are prepared to do whatever fits your strategic plan and budget priorities.  In that sense, we are not wedded to specific budget numbers in this plan, but wanted you to see the kind of program that has worked extremely well for our other clients.</w:t>
      </w:r>
    </w:p>
    <w:p>
      <w:pPr>
        <w:pStyle w:val="Normal"/>
        <w:tabs>
          <w:tab w:val="clear" w:pos="720"/>
          <w:tab w:val="left" w:pos="8550" w:leader="none"/>
        </w:tabs>
        <w:autoSpaceDE w:val="false"/>
        <w:rPr>
          <w:sz w:val="24"/>
        </w:rPr>
      </w:pPr>
      <w:r>
        <w:rPr>
          <w:sz w:val="24"/>
        </w:rPr>
      </w:r>
    </w:p>
    <w:p>
      <w:pPr>
        <w:pStyle w:val="BodyText"/>
        <w:tabs>
          <w:tab w:val="clear" w:pos="720"/>
          <w:tab w:val="left" w:pos="8550" w:leader="none"/>
        </w:tabs>
        <w:autoSpaceDE w:val="false"/>
        <w:rPr/>
      </w:pPr>
      <w:r>
        <w:rPr/>
        <w:t>You have seen these capabilities at work in the 1997 effort in Pennsylvania.  Since that time, we have built a formidable network of grassroots operatives in 32 states, with full-time staff in 5 states, including California and Florida.  This team enables key constituencies to have a positive impact on decisions made at the federal and state level.</w:t>
      </w:r>
    </w:p>
    <w:p>
      <w:pPr>
        <w:pStyle w:val="Normal"/>
        <w:tabs>
          <w:tab w:val="clear" w:pos="720"/>
          <w:tab w:val="left" w:pos="8550" w:leader="none"/>
        </w:tabs>
        <w:autoSpaceDE w:val="false"/>
        <w:rPr>
          <w:sz w:val="24"/>
        </w:rPr>
      </w:pPr>
      <w:r>
        <w:rPr>
          <w:sz w:val="24"/>
        </w:rPr>
        <w:t xml:space="preserve">We have the capacity to generate dozens of high-touch letters from an elected official’s strongest supporters and the most influential opinion leaders in his district.  These are the people who will be contacted by members of our team after careful briefing. </w:t>
      </w:r>
    </w:p>
    <w:p>
      <w:pPr>
        <w:pStyle w:val="Normal"/>
        <w:rPr>
          <w:sz w:val="24"/>
        </w:rPr>
      </w:pPr>
      <w:r>
        <w:rPr>
          <w:sz w:val="24"/>
        </w:rPr>
      </w:r>
    </w:p>
    <w:p>
      <w:pPr>
        <w:pStyle w:val="Heading1"/>
        <w:ind w:hanging="0" w:start="0"/>
        <w:rPr/>
      </w:pPr>
      <w:r>
        <w:rPr>
          <w:bCs/>
        </w:rPr>
        <w:t xml:space="preserve">The </w:t>
      </w:r>
      <w:r>
        <w:rPr/>
        <w:t xml:space="preserve">current </w:t>
      </w:r>
      <w:r>
        <w:rPr>
          <w:bCs/>
        </w:rPr>
        <w:t>situation as we understand it</w:t>
      </w:r>
    </w:p>
    <w:p>
      <w:pPr>
        <w:pStyle w:val="Normal"/>
        <w:rPr>
          <w:bCs/>
          <w:sz w:val="24"/>
        </w:rPr>
      </w:pPr>
      <w:r>
        <w:rPr>
          <w:bCs/>
          <w:sz w:val="24"/>
        </w:rPr>
      </w:r>
    </w:p>
    <w:p>
      <w:pPr>
        <w:pStyle w:val="Normal"/>
        <w:rPr>
          <w:sz w:val="24"/>
        </w:rPr>
      </w:pPr>
      <w:r>
        <w:rPr>
          <w:sz w:val="24"/>
        </w:rPr>
        <w:t>In the mid-1990s the Federal Energy Regulatory Commission issued Orders 888 and 2000.  The market-based rate provision in Order 888 was designed to encourage transmission-owning utilities to open up the national power grid to allow competition.  Order 2000 formed regional transmission organizations.  In turn, utilities were required to file open-access tariffs.  In the aftermath of successful opening of some markets, a total of more than $20 billion is being invested in the development of new power sources this year alone.  However, most markets – as dramatically demonstrated by the inadequate and halfway restructuring effort in California – have not been truly opened.</w:t>
      </w:r>
    </w:p>
    <w:p>
      <w:pPr>
        <w:pStyle w:val="Normal"/>
        <w:rPr>
          <w:sz w:val="24"/>
        </w:rPr>
      </w:pPr>
      <w:r>
        <w:rPr>
          <w:sz w:val="24"/>
        </w:rPr>
      </w:r>
    </w:p>
    <w:p>
      <w:pPr>
        <w:pStyle w:val="Normal"/>
        <w:rPr>
          <w:sz w:val="24"/>
        </w:rPr>
      </w:pPr>
      <w:r>
        <w:rPr>
          <w:sz w:val="24"/>
        </w:rPr>
        <w:t xml:space="preserve">While building Congressional support for opening markets is important, the federal courts have ruled that the FERC has the authority to act under Order 888 even without congressional legislation.  FERC opened an investigation this summer into the wholesale power market, with a particular emphasis on California.  In light of the fact that some San Diego consumers saw market-based rates double their bills, it is hoped that the FERC will rule that the transmission grid must be open on a non-discriminatory basis.  </w:t>
      </w:r>
    </w:p>
    <w:p>
      <w:pPr>
        <w:pStyle w:val="Normal"/>
        <w:rPr>
          <w:sz w:val="24"/>
        </w:rPr>
      </w:pPr>
      <w:r>
        <w:rPr>
          <w:sz w:val="24"/>
        </w:rPr>
      </w:r>
    </w:p>
    <w:p>
      <w:pPr>
        <w:pStyle w:val="Normal"/>
        <w:rPr/>
      </w:pPr>
      <w:r>
        <w:rPr>
          <w:sz w:val="24"/>
        </w:rPr>
        <w:t>Actual legislation considered by the 106</w:t>
      </w:r>
      <w:r>
        <w:rPr>
          <w:sz w:val="24"/>
          <w:vertAlign w:val="superscript"/>
        </w:rPr>
        <w:t>th</w:t>
      </w:r>
      <w:r>
        <w:rPr>
          <w:sz w:val="24"/>
        </w:rPr>
        <w:t xml:space="preserve"> Congress of potential consequence on this broader issue of electricity restructuring included:</w:t>
      </w:r>
    </w:p>
    <w:p>
      <w:pPr>
        <w:pStyle w:val="Footer"/>
        <w:tabs>
          <w:tab w:val="clear" w:pos="4320"/>
          <w:tab w:val="clear" w:pos="8640"/>
          <w:tab w:val="left" w:pos="5670" w:leader="none"/>
          <w:tab w:val="left" w:pos="8550" w:leader="none"/>
        </w:tabs>
        <w:jc w:val="both"/>
        <w:rPr>
          <w:b/>
          <w:bCs/>
          <w:sz w:val="24"/>
        </w:rPr>
      </w:pPr>
      <w:r>
        <w:rPr>
          <w:b/>
          <w:bCs/>
          <w:sz w:val="24"/>
        </w:rPr>
      </w:r>
    </w:p>
    <w:p>
      <w:pPr>
        <w:pStyle w:val="Footer"/>
        <w:numPr>
          <w:ilvl w:val="0"/>
          <w:numId w:val="2"/>
        </w:numPr>
        <w:tabs>
          <w:tab w:val="clear" w:pos="4320"/>
          <w:tab w:val="clear" w:pos="8640"/>
          <w:tab w:val="left" w:pos="5670" w:leader="none"/>
          <w:tab w:val="left" w:pos="8550" w:leader="none"/>
        </w:tabs>
        <w:jc w:val="both"/>
        <w:rPr>
          <w:sz w:val="24"/>
        </w:rPr>
      </w:pPr>
      <w:r>
        <w:rPr>
          <w:sz w:val="24"/>
        </w:rPr>
        <w:t xml:space="preserve">S. 2886. Consumer Empowerment and Electricity Deregulation Act of 2000 </w:t>
      </w:r>
    </w:p>
    <w:p>
      <w:pPr>
        <w:pStyle w:val="Footer"/>
        <w:numPr>
          <w:ilvl w:val="0"/>
          <w:numId w:val="2"/>
        </w:numPr>
        <w:tabs>
          <w:tab w:val="clear" w:pos="4320"/>
          <w:tab w:val="clear" w:pos="8640"/>
          <w:tab w:val="left" w:pos="5670" w:leader="none"/>
          <w:tab w:val="left" w:pos="8550" w:leader="none"/>
        </w:tabs>
        <w:jc w:val="both"/>
        <w:rPr>
          <w:sz w:val="24"/>
        </w:rPr>
      </w:pPr>
      <w:r>
        <w:rPr>
          <w:sz w:val="24"/>
        </w:rPr>
        <w:t xml:space="preserve">H.R. 2734.  Community Choice for Electricity Act of 1999 </w:t>
      </w:r>
    </w:p>
    <w:p>
      <w:pPr>
        <w:pStyle w:val="Footer"/>
        <w:numPr>
          <w:ilvl w:val="0"/>
          <w:numId w:val="2"/>
        </w:numPr>
        <w:tabs>
          <w:tab w:val="clear" w:pos="4320"/>
          <w:tab w:val="clear" w:pos="8640"/>
          <w:tab w:val="left" w:pos="5670" w:leader="none"/>
          <w:tab w:val="left" w:pos="8550" w:leader="none"/>
        </w:tabs>
        <w:jc w:val="both"/>
        <w:rPr>
          <w:sz w:val="24"/>
        </w:rPr>
      </w:pPr>
      <w:r>
        <w:rPr>
          <w:sz w:val="24"/>
        </w:rPr>
        <w:t>S. 516. Electric Utility Restructuring Empowerment &amp; Competitiveness Act of 1999</w:t>
      </w:r>
    </w:p>
    <w:p>
      <w:pPr>
        <w:pStyle w:val="Footer"/>
        <w:numPr>
          <w:ilvl w:val="0"/>
          <w:numId w:val="2"/>
        </w:numPr>
        <w:tabs>
          <w:tab w:val="clear" w:pos="4320"/>
          <w:tab w:val="clear" w:pos="8640"/>
          <w:tab w:val="left" w:pos="5670" w:leader="none"/>
          <w:tab w:val="left" w:pos="8550" w:leader="none"/>
        </w:tabs>
        <w:jc w:val="both"/>
        <w:rPr>
          <w:sz w:val="24"/>
        </w:rPr>
      </w:pPr>
      <w:r>
        <w:rPr>
          <w:sz w:val="24"/>
        </w:rPr>
        <w:t>H.R. 2645.  To provide for the restructuring of the electric power industry</w:t>
      </w:r>
    </w:p>
    <w:p>
      <w:pPr>
        <w:pStyle w:val="Footer"/>
        <w:tabs>
          <w:tab w:val="clear" w:pos="4320"/>
          <w:tab w:val="clear" w:pos="8640"/>
          <w:tab w:val="left" w:pos="5670" w:leader="none"/>
          <w:tab w:val="left" w:pos="8550" w:leader="none"/>
        </w:tabs>
        <w:jc w:val="both"/>
        <w:rPr>
          <w:sz w:val="24"/>
        </w:rPr>
      </w:pPr>
      <w:r>
        <w:rPr>
          <w:sz w:val="24"/>
        </w:rPr>
      </w:r>
    </w:p>
    <w:p>
      <w:pPr>
        <w:pStyle w:val="Normal"/>
        <w:rPr>
          <w:sz w:val="24"/>
        </w:rPr>
      </w:pPr>
      <w:r>
        <w:rPr>
          <w:sz w:val="24"/>
        </w:rPr>
        <w:t xml:space="preserve">In addition to this federal activity, many state legislatures----Pennsylvania, New Jersey, and most recently Texas---have enacted varying deregulation measures and other states are still considering deregulating their markets in addition to related proposals such as environmental plant requirements being placed on out-of-state companies to qualify for bidding on the opportunity to provide power across state lines.  Many of these regulations and permitting procedures are draconian and time-consuming, greatly slowing down the building of additional electricity generating capacity. </w:t>
      </w:r>
    </w:p>
    <w:p>
      <w:pPr>
        <w:pStyle w:val="Normal"/>
        <w:rPr>
          <w:sz w:val="24"/>
        </w:rPr>
      </w:pPr>
      <w:r>
        <w:rPr>
          <w:sz w:val="24"/>
        </w:rPr>
      </w:r>
    </w:p>
    <w:p>
      <w:pPr>
        <w:pStyle w:val="Normal"/>
        <w:rPr>
          <w:sz w:val="24"/>
        </w:rPr>
      </w:pPr>
      <w:r>
        <w:rPr>
          <w:sz w:val="24"/>
        </w:rPr>
        <w:t>But as in all such legislative processes, the devil is in the details.  Many bills and regulations trumpeting “competition” do nothing of the kind.  This is where grassroots can be so critical----getting out message out to consumers and citizens and encouraging them to make their voices heard.</w:t>
      </w:r>
    </w:p>
    <w:p>
      <w:pPr>
        <w:pStyle w:val="Normal"/>
        <w:rPr>
          <w:sz w:val="24"/>
        </w:rPr>
      </w:pPr>
      <w:r>
        <w:rPr>
          <w:sz w:val="24"/>
        </w:rPr>
      </w:r>
    </w:p>
    <w:p>
      <w:pPr>
        <w:pStyle w:val="Normal"/>
        <w:rPr>
          <w:sz w:val="24"/>
        </w:rPr>
      </w:pPr>
      <w:r>
        <w:rPr>
          <w:sz w:val="24"/>
        </w:rPr>
        <w:t>Time is of the essence.  We will have a new President and new Congress in less than 90 days, and the best opportunity to pass a true federal deregulation bill in years.</w:t>
      </w:r>
    </w:p>
    <w:p>
      <w:pPr>
        <w:pStyle w:val="Normal"/>
        <w:tabs>
          <w:tab w:val="clear" w:pos="720"/>
          <w:tab w:val="left" w:pos="8550" w:leader="none"/>
        </w:tabs>
        <w:autoSpaceDE w:val="false"/>
        <w:jc w:val="both"/>
        <w:rPr>
          <w:sz w:val="24"/>
        </w:rPr>
      </w:pPr>
      <w:r>
        <w:rPr>
          <w:sz w:val="24"/>
        </w:rPr>
      </w:r>
    </w:p>
    <w:p>
      <w:pPr>
        <w:pStyle w:val="Normal"/>
        <w:tabs>
          <w:tab w:val="clear" w:pos="720"/>
          <w:tab w:val="left" w:pos="8550" w:leader="none"/>
        </w:tabs>
        <w:autoSpaceDE w:val="false"/>
        <w:rPr>
          <w:sz w:val="24"/>
        </w:rPr>
      </w:pPr>
      <w:r>
        <w:rPr>
          <w:sz w:val="24"/>
        </w:rPr>
        <w:t xml:space="preserve">The following outlines a basic plan for building support for deregulation at the grassroots.  </w:t>
      </w:r>
    </w:p>
    <w:p>
      <w:pPr>
        <w:pStyle w:val="Normal"/>
        <w:tabs>
          <w:tab w:val="clear" w:pos="720"/>
          <w:tab w:val="left" w:pos="8550" w:leader="none"/>
        </w:tabs>
        <w:autoSpaceDE w:val="false"/>
        <w:rPr>
          <w:sz w:val="24"/>
        </w:rPr>
      </w:pPr>
      <w:r>
        <w:rPr>
          <w:sz w:val="24"/>
        </w:rPr>
      </w:r>
    </w:p>
    <w:p>
      <w:pPr>
        <w:pStyle w:val="Normal"/>
        <w:tabs>
          <w:tab w:val="clear" w:pos="720"/>
          <w:tab w:val="left" w:pos="8550" w:leader="none"/>
        </w:tabs>
        <w:autoSpaceDE w:val="false"/>
        <w:rPr>
          <w:sz w:val="24"/>
        </w:rPr>
      </w:pPr>
      <w:r>
        <w:rPr>
          <w:sz w:val="24"/>
        </w:rPr>
      </w:r>
    </w:p>
    <w:p>
      <w:pPr>
        <w:pStyle w:val="Heading1"/>
        <w:tabs>
          <w:tab w:val="clear" w:pos="720"/>
          <w:tab w:val="left" w:pos="8550" w:leader="none"/>
        </w:tabs>
        <w:autoSpaceDE w:val="false"/>
        <w:ind w:hanging="0" w:start="0"/>
        <w:rPr>
          <w:bCs/>
        </w:rPr>
      </w:pPr>
      <w:r>
        <w:rPr>
          <w:bCs/>
        </w:rPr>
        <w:t>Building the Foundation for Victory</w:t>
      </w:r>
    </w:p>
    <w:p>
      <w:pPr>
        <w:pStyle w:val="Normal"/>
        <w:tabs>
          <w:tab w:val="clear" w:pos="720"/>
          <w:tab w:val="left" w:pos="8550" w:leader="none"/>
        </w:tabs>
        <w:autoSpaceDE w:val="false"/>
        <w:rPr>
          <w:bCs/>
          <w:sz w:val="24"/>
        </w:rPr>
      </w:pPr>
      <w:r>
        <w:rPr>
          <w:bCs/>
          <w:sz w:val="24"/>
        </w:rPr>
      </w:r>
    </w:p>
    <w:p>
      <w:pPr>
        <w:pStyle w:val="BodyText"/>
        <w:rPr/>
      </w:pPr>
      <w:r>
        <w:rPr/>
        <w:t xml:space="preserve">An outpouring of support from key grassroots constituencies will be a critical factor at both the state and federal level as we move towards the culmination of a national electricity restructuring strategy in 2001-02.  Elected officials and regulators will be predisposed to favor greater market-oriented solutions if they hear from business, civic, and religious leaders in their community.  </w:t>
      </w:r>
    </w:p>
    <w:p>
      <w:pPr>
        <w:pStyle w:val="BodyText"/>
        <w:rPr>
          <w:b/>
          <w:bCs/>
        </w:rPr>
      </w:pPr>
      <w:r>
        <w:rPr>
          <w:b/>
          <w:bCs/>
        </w:rPr>
      </w:r>
    </w:p>
    <w:p>
      <w:pPr>
        <w:pStyle w:val="BodyText"/>
        <w:rPr/>
      </w:pPr>
      <w:r>
        <w:rPr/>
        <w:t>In public policy, it matters less who has the best arguments and more who gets heard---and by whom.  This is where grassroots can make such a difference.</w:t>
      </w:r>
    </w:p>
    <w:p>
      <w:pPr>
        <w:pStyle w:val="BodyText"/>
        <w:rPr/>
      </w:pPr>
      <w:r>
        <w:rPr/>
      </w:r>
    </w:p>
    <w:p>
      <w:pPr>
        <w:pStyle w:val="BodyText"/>
        <w:rPr/>
      </w:pPr>
      <w:r>
        <w:rPr/>
        <w:t>Century Strategies will work with Enron and its members to build a potent consumer grassroots coalition in key states and Congressional Districts to make its views known.  The technologies we will use will include but not be limited to: petition drives, town hall meetings, conference calls, phone banks, e-mail and the Internet, direct mail, and talk radio.</w:t>
      </w:r>
    </w:p>
    <w:p>
      <w:pPr>
        <w:pStyle w:val="BodyText"/>
        <w:rPr/>
      </w:pPr>
      <w:r>
        <w:rPr/>
      </w:r>
    </w:p>
    <w:p>
      <w:pPr>
        <w:pStyle w:val="BodyText"/>
        <w:rPr/>
      </w:pPr>
      <w:r>
        <w:rPr/>
        <w:t>Our first job will be to designate a volunteer grassroots coordinator, preferably from among the leadership of a member company in the district or state.  Second, we will assist the grassroots coordinator in building a leadership team and training them on how to be effective.  Third, we will build a file of citizens and activists who will contact their elected officials or regulatory bodies with the turn of a switch by whatever means are required: letter, phone, or personal visit.</w:t>
      </w:r>
    </w:p>
    <w:p>
      <w:pPr>
        <w:pStyle w:val="BodyText"/>
        <w:rPr>
          <w:b/>
          <w:bCs/>
        </w:rPr>
      </w:pPr>
      <w:r>
        <w:rPr>
          <w:b/>
          <w:bCs/>
        </w:rPr>
      </w:r>
    </w:p>
    <w:p>
      <w:pPr>
        <w:pStyle w:val="BodyText"/>
        <w:rPr/>
      </w:pPr>
      <w:r>
        <w:rPr/>
        <w:t xml:space="preserve">Our principals have unique and unparalleled experience in building these kinds of grassroots networks.  During the last session of Congress we have worked with our clients to build grassroots support on issues as disparate as expanding trade to opposing legalized gambling and banning sales of alcohol on the Internet.  Our results for our clients speak for themselves: winning the votes of 14 of 21 targets for PNTR earlier this year in the House of Representatives, defeating the lottery in a referendum in Alabama (only the second such defeat in a decade), and winning legislative approval for a ban on alcohol sales on the Internet. </w:t>
      </w:r>
    </w:p>
    <w:p>
      <w:pPr>
        <w:pStyle w:val="BodyText"/>
        <w:rPr/>
      </w:pPr>
      <w:r>
        <w:rPr/>
      </w:r>
    </w:p>
    <w:p>
      <w:pPr>
        <w:pStyle w:val="BodyText"/>
        <w:rPr/>
      </w:pPr>
      <w:r>
        <w:rPr/>
        <w:t>We will also seek to broaden the consumer coalition for Enron by seeking alliances with third-party organizations that may share areas of agreement.  In 1998, we generated support in the minority community and in other cases we have built support in the faith community for issues such as free trade.  With access to over 2.6 million names from proprietary databases of such citizen activists, we are confident we can identify the right issue mix that will generate significant support for deregulation.</w:t>
      </w:r>
    </w:p>
    <w:p>
      <w:pPr>
        <w:pStyle w:val="Normal"/>
        <w:rPr>
          <w:sz w:val="24"/>
        </w:rPr>
      </w:pPr>
      <w:r>
        <w:rPr>
          <w:sz w:val="24"/>
        </w:rPr>
      </w:r>
    </w:p>
    <w:p>
      <w:pPr>
        <w:pStyle w:val="Normal"/>
        <w:rPr>
          <w:sz w:val="24"/>
        </w:rPr>
      </w:pPr>
      <w:r>
        <w:rPr>
          <w:sz w:val="24"/>
        </w:rPr>
      </w:r>
    </w:p>
    <w:p>
      <w:pPr>
        <w:pStyle w:val="Heading4"/>
        <w:autoSpaceDE w:val="false"/>
        <w:ind w:hanging="0" w:start="0"/>
        <w:jc w:val="start"/>
        <w:rPr>
          <w:rFonts w:ascii="Times New Roman" w:hAnsi="Times New Roman" w:cs="Times New Roman"/>
          <w:bCs/>
          <w:sz w:val="24"/>
        </w:rPr>
      </w:pPr>
      <w:r>
        <w:rPr>
          <w:rFonts w:cs="Times New Roman" w:ascii="Times New Roman" w:hAnsi="Times New Roman"/>
          <w:bCs/>
          <w:sz w:val="24"/>
        </w:rPr>
        <w:t>Communication with the key members of Congress</w:t>
      </w:r>
    </w:p>
    <w:p>
      <w:pPr>
        <w:pStyle w:val="Normal"/>
        <w:autoSpaceDE w:val="false"/>
        <w:rPr>
          <w:rFonts w:ascii="Times New Roman" w:hAnsi="Times New Roman" w:cs="Times New Roman"/>
          <w:bCs/>
          <w:sz w:val="24"/>
        </w:rPr>
      </w:pPr>
      <w:r>
        <w:rPr>
          <w:rFonts w:cs="Times New Roman"/>
          <w:bCs/>
          <w:sz w:val="24"/>
        </w:rPr>
      </w:r>
    </w:p>
    <w:p>
      <w:pPr>
        <w:pStyle w:val="Normal"/>
        <w:autoSpaceDE w:val="false"/>
        <w:rPr>
          <w:sz w:val="24"/>
        </w:rPr>
      </w:pPr>
      <w:r>
        <w:rPr>
          <w:sz w:val="24"/>
        </w:rPr>
        <w:t>In addition to winning the public affairs debate with grassroots and third party advocacy, we believe it is important have influential constituents from this community and others voice support for deregulation as a way to curtail rising energy costs and avoid future brownouts.</w:t>
      </w:r>
    </w:p>
    <w:p>
      <w:pPr>
        <w:pStyle w:val="Normal"/>
        <w:autoSpaceDE w:val="false"/>
        <w:rPr>
          <w:sz w:val="24"/>
        </w:rPr>
      </w:pPr>
      <w:r>
        <w:rPr>
          <w:sz w:val="24"/>
        </w:rPr>
      </w:r>
    </w:p>
    <w:p>
      <w:pPr>
        <w:pStyle w:val="Normal"/>
        <w:autoSpaceDE w:val="false"/>
        <w:rPr>
          <w:sz w:val="24"/>
        </w:rPr>
      </w:pPr>
      <w:r>
        <w:rPr>
          <w:sz w:val="24"/>
        </w:rPr>
        <w:t>Elected officials receive many constituent letters, most of which simply draw a form reply from a staff member.  However, every staff knows that there are certain people - a friend or family member, key party person, civic or business leader, or major donor - whose correspondence must be presented to the official for his personal reading and response.</w:t>
      </w:r>
    </w:p>
    <w:p>
      <w:pPr>
        <w:pStyle w:val="Normal"/>
        <w:autoSpaceDE w:val="false"/>
        <w:rPr>
          <w:sz w:val="24"/>
        </w:rPr>
      </w:pPr>
      <w:r>
        <w:rPr>
          <w:sz w:val="24"/>
        </w:rPr>
      </w:r>
    </w:p>
    <w:p>
      <w:pPr>
        <w:pStyle w:val="Normal"/>
        <w:autoSpaceDE w:val="false"/>
        <w:rPr>
          <w:sz w:val="24"/>
        </w:rPr>
      </w:pPr>
      <w:r>
        <w:rPr>
          <w:sz w:val="24"/>
        </w:rPr>
        <w:t>Century Strategies and its principals have been involved in a total of 88 statewide and Congressional campaigns, including nine presidential campaigns.  We have worked closely with many of these members, a number of whom are good friends or former clients of our firm.  We have no doubt that we can build support for Enron in a number of states and Districts.</w:t>
      </w:r>
    </w:p>
    <w:p>
      <w:pPr>
        <w:pStyle w:val="Normal"/>
        <w:autoSpaceDE w:val="false"/>
        <w:rPr>
          <w:sz w:val="24"/>
        </w:rPr>
      </w:pPr>
      <w:r>
        <w:rPr>
          <w:sz w:val="24"/>
        </w:rPr>
      </w:r>
    </w:p>
    <w:p>
      <w:pPr>
        <w:pStyle w:val="Normal"/>
        <w:autoSpaceDE w:val="false"/>
        <w:rPr>
          <w:sz w:val="24"/>
        </w:rPr>
      </w:pPr>
      <w:r>
        <w:rPr>
          <w:sz w:val="24"/>
        </w:rPr>
      </w:r>
    </w:p>
    <w:p>
      <w:pPr>
        <w:pStyle w:val="Heading1"/>
        <w:autoSpaceDE w:val="false"/>
        <w:ind w:hanging="0" w:start="0"/>
        <w:rPr>
          <w:bCs/>
        </w:rPr>
      </w:pPr>
      <w:r>
        <w:rPr>
          <w:bCs/>
        </w:rPr>
        <w:t>Team Assigned to the Project</w:t>
      </w:r>
    </w:p>
    <w:p>
      <w:pPr>
        <w:pStyle w:val="Normal"/>
        <w:autoSpaceDE w:val="false"/>
        <w:ind w:start="360" w:end="0"/>
        <w:rPr>
          <w:bCs/>
          <w:sz w:val="24"/>
        </w:rPr>
      </w:pPr>
      <w:r>
        <w:rPr>
          <w:bCs/>
          <w:sz w:val="24"/>
        </w:rPr>
      </w:r>
    </w:p>
    <w:p>
      <w:pPr>
        <w:pStyle w:val="BodyTextIndent"/>
        <w:autoSpaceDE w:val="false"/>
        <w:ind w:start="0" w:end="0"/>
        <w:rPr/>
      </w:pPr>
      <w:r>
        <w:rPr/>
        <w:t>The background on our team members is as follows:</w:t>
      </w:r>
    </w:p>
    <w:p>
      <w:pPr>
        <w:pStyle w:val="BodyTextIndent"/>
        <w:autoSpaceDE w:val="false"/>
        <w:rPr/>
      </w:pPr>
      <w:r>
        <w:rPr/>
      </w:r>
    </w:p>
    <w:p>
      <w:pPr>
        <w:pStyle w:val="Normal"/>
        <w:numPr>
          <w:ilvl w:val="1"/>
          <w:numId w:val="3"/>
        </w:numPr>
        <w:rPr>
          <w:sz w:val="24"/>
        </w:rPr>
      </w:pPr>
      <w:r>
        <w:rPr>
          <w:sz w:val="24"/>
        </w:rPr>
        <w:t xml:space="preserve">I will assume personal responsibility for the overall vision and strategy of the project. I have long-term friendships with many members of Congress dating back more than a decade.  During the last two election cycles our firm has been involved in dozens of federal and state campaigns in 24 states, and involvement in the grassroots side of a presidential campaign in 18 battleground states.  </w:t>
      </w:r>
    </w:p>
    <w:p>
      <w:pPr>
        <w:pStyle w:val="Normal"/>
        <w:ind w:start="1080" w:end="0"/>
        <w:rPr>
          <w:sz w:val="24"/>
        </w:rPr>
      </w:pPr>
      <w:r>
        <w:rPr>
          <w:sz w:val="24"/>
        </w:rPr>
      </w:r>
    </w:p>
    <w:p>
      <w:pPr>
        <w:pStyle w:val="BodyText"/>
        <w:numPr>
          <w:ilvl w:val="1"/>
          <w:numId w:val="3"/>
        </w:numPr>
        <w:rPr/>
      </w:pPr>
      <w:r>
        <w:rPr/>
        <w:t>John Pudner will be the day-to-day Projects Manager.  John has managed or consulted on 12 winning campaigns.  He now maintains regular contact with our state operatives, briefing them on new issues, so that they in turn can facilitate contacts between elected officials and key leaders in their communities.</w:t>
      </w:r>
    </w:p>
    <w:p>
      <w:pPr>
        <w:pStyle w:val="BodyText"/>
        <w:ind w:start="1080" w:end="0"/>
        <w:rPr/>
      </w:pPr>
      <w:r>
        <w:rPr/>
      </w:r>
    </w:p>
    <w:p>
      <w:pPr>
        <w:pStyle w:val="Normal"/>
        <w:numPr>
          <w:ilvl w:val="1"/>
          <w:numId w:val="3"/>
        </w:numPr>
        <w:rPr>
          <w:sz w:val="24"/>
        </w:rPr>
      </w:pPr>
      <w:r>
        <w:rPr>
          <w:sz w:val="24"/>
        </w:rPr>
        <w:t xml:space="preserve">Lisa Gimbel will be the media specialist for the project.  Lisa has worked for corporate clients or political campaigns in New York, Philadelphia, California, Arizona, Iowa and Florida.  Since joining Century Strategies, Lisa has utilized her talent and contacts to gain coverage for clients in the </w:t>
      </w:r>
      <w:r>
        <w:rPr>
          <w:i/>
          <w:iCs/>
          <w:sz w:val="24"/>
        </w:rPr>
        <w:t>Wall Street Journal</w:t>
      </w:r>
      <w:r>
        <w:rPr>
          <w:sz w:val="24"/>
        </w:rPr>
        <w:t xml:space="preserve">, </w:t>
      </w:r>
      <w:r>
        <w:rPr>
          <w:i/>
          <w:iCs/>
          <w:sz w:val="24"/>
        </w:rPr>
        <w:t>New York Times</w:t>
      </w:r>
      <w:r>
        <w:rPr>
          <w:sz w:val="24"/>
        </w:rPr>
        <w:t xml:space="preserve">, </w:t>
      </w:r>
      <w:r>
        <w:rPr>
          <w:i/>
          <w:iCs/>
          <w:sz w:val="24"/>
        </w:rPr>
        <w:t>Washington Post</w:t>
      </w:r>
      <w:r>
        <w:rPr>
          <w:sz w:val="24"/>
        </w:rPr>
        <w:t xml:space="preserve"> and </w:t>
      </w:r>
      <w:r>
        <w:rPr>
          <w:i/>
          <w:iCs/>
          <w:sz w:val="24"/>
        </w:rPr>
        <w:t>USA Today</w:t>
      </w:r>
      <w:r>
        <w:rPr>
          <w:sz w:val="24"/>
        </w:rPr>
        <w:t xml:space="preserve">.  </w:t>
      </w:r>
    </w:p>
    <w:p>
      <w:pPr>
        <w:pStyle w:val="Normal"/>
        <w:rPr>
          <w:sz w:val="24"/>
        </w:rPr>
      </w:pPr>
      <w:r>
        <w:rPr>
          <w:sz w:val="24"/>
        </w:rPr>
      </w:r>
    </w:p>
    <w:p>
      <w:pPr>
        <w:pStyle w:val="Normal"/>
        <w:numPr>
          <w:ilvl w:val="1"/>
          <w:numId w:val="3"/>
        </w:numPr>
        <w:rPr>
          <w:b/>
          <w:bCs/>
          <w:sz w:val="24"/>
          <w:u w:val="single"/>
        </w:rPr>
      </w:pPr>
      <w:r>
        <w:rPr>
          <w:sz w:val="24"/>
        </w:rPr>
        <w:t xml:space="preserve">Tim Phillips will be assigned to monitor developments on Capitol Hill and certain key states.  Tim is former chief of staff to Bob Goodlatte (R-VA), and has been involved in campaigns for 15 years.  His deepest roots are in Virginia, but he has also worked on campaigns from Florida to Alaska.  </w:t>
      </w:r>
    </w:p>
    <w:p>
      <w:pPr>
        <w:pStyle w:val="Normal"/>
        <w:rPr>
          <w:b/>
          <w:bCs/>
          <w:sz w:val="24"/>
          <w:u w:val="single"/>
        </w:rPr>
      </w:pPr>
      <w:r>
        <w:rPr>
          <w:b/>
          <w:bCs/>
          <w:sz w:val="24"/>
          <w:u w:val="single"/>
        </w:rPr>
      </w:r>
    </w:p>
    <w:p>
      <w:pPr>
        <w:pStyle w:val="Normal"/>
        <w:rPr>
          <w:b/>
          <w:bCs/>
          <w:sz w:val="24"/>
          <w:u w:val="single"/>
        </w:rPr>
      </w:pPr>
      <w:r>
        <w:rPr>
          <w:b/>
          <w:bCs/>
          <w:sz w:val="24"/>
          <w:u w:val="single"/>
        </w:rPr>
      </w:r>
    </w:p>
    <w:p>
      <w:pPr>
        <w:pStyle w:val="Heading1"/>
        <w:ind w:hanging="0" w:start="0"/>
        <w:rPr>
          <w:bCs/>
        </w:rPr>
      </w:pPr>
      <w:r>
        <w:rPr>
          <w:bCs/>
        </w:rPr>
        <w:t>Leadership and Committee Targets</w:t>
      </w:r>
    </w:p>
    <w:p>
      <w:pPr>
        <w:pStyle w:val="Normal"/>
        <w:tabs>
          <w:tab w:val="clear" w:pos="720"/>
          <w:tab w:val="left" w:pos="8550" w:leader="none"/>
        </w:tabs>
        <w:autoSpaceDE w:val="false"/>
        <w:rPr>
          <w:bCs/>
          <w:sz w:val="24"/>
        </w:rPr>
      </w:pPr>
      <w:r>
        <w:rPr>
          <w:bCs/>
          <w:sz w:val="24"/>
        </w:rPr>
      </w:r>
    </w:p>
    <w:p>
      <w:pPr>
        <w:pStyle w:val="Normal"/>
        <w:tabs>
          <w:tab w:val="clear" w:pos="720"/>
          <w:tab w:val="left" w:pos="8550" w:leader="none"/>
        </w:tabs>
        <w:autoSpaceDE w:val="false"/>
        <w:rPr>
          <w:sz w:val="24"/>
        </w:rPr>
      </w:pPr>
      <w:r>
        <w:rPr>
          <w:sz w:val="24"/>
        </w:rPr>
        <w:t>We suggest facilitating letters to the following members of the Commerce Committees.  We recommend approximately 15 letters to each of these members, though this will vary from member to member depending on the number of key leaders willing to support Enron within a given district or state.  If Enron anticipates specific legislation in particular states, we can substitute Governors, State House Speakers, or other key state officials for any of these Senators or Members.</w:t>
      </w:r>
    </w:p>
    <w:p>
      <w:pPr>
        <w:pStyle w:val="Normal"/>
        <w:tabs>
          <w:tab w:val="clear" w:pos="720"/>
          <w:tab w:val="left" w:pos="8550" w:leader="none"/>
        </w:tabs>
        <w:autoSpaceDE w:val="false"/>
        <w:rPr>
          <w:sz w:val="24"/>
        </w:rPr>
      </w:pPr>
      <w:r>
        <w:rPr>
          <w:sz w:val="24"/>
        </w:rPr>
      </w:r>
    </w:p>
    <w:p>
      <w:pPr>
        <w:pStyle w:val="Normal"/>
        <w:tabs>
          <w:tab w:val="clear" w:pos="720"/>
          <w:tab w:val="left" w:pos="8550" w:leader="none"/>
        </w:tabs>
        <w:jc w:val="both"/>
        <w:rPr>
          <w:sz w:val="24"/>
        </w:rPr>
      </w:pPr>
      <w:r>
        <w:rPr>
          <w:sz w:val="24"/>
        </w:rPr>
      </w:r>
    </w:p>
    <w:tbl>
      <w:tblPr>
        <w:tblW w:w="4577" w:type="dxa"/>
        <w:jc w:val="center"/>
        <w:tblInd w:w="0" w:type="dxa"/>
        <w:tblLayout w:type="fixed"/>
        <w:tblCellMar>
          <w:top w:w="0" w:type="dxa"/>
          <w:start w:w="108" w:type="dxa"/>
          <w:bottom w:w="0" w:type="dxa"/>
          <w:end w:w="108" w:type="dxa"/>
        </w:tblCellMar>
      </w:tblPr>
      <w:tblGrid>
        <w:gridCol w:w="2415"/>
        <w:gridCol w:w="736"/>
        <w:gridCol w:w="636"/>
        <w:gridCol w:w="790"/>
      </w:tblGrid>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b/>
                <w:bCs/>
                <w:sz w:val="24"/>
                <w:u w:val="single"/>
              </w:rPr>
            </w:pPr>
            <w:r>
              <w:rPr>
                <w:b/>
                <w:bCs/>
                <w:sz w:val="24"/>
                <w:u w:val="single"/>
              </w:rPr>
              <w:t>Committee Member</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b/>
                <w:bCs/>
                <w:sz w:val="24"/>
                <w:u w:val="single"/>
              </w:rPr>
            </w:pPr>
            <w:r>
              <w:rPr>
                <w:b/>
                <w:bCs/>
                <w:sz w:val="24"/>
                <w:u w:val="single"/>
              </w:rPr>
              <w:t>State</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b/>
                <w:bCs/>
                <w:sz w:val="24"/>
                <w:u w:val="single"/>
              </w:rPr>
            </w:pPr>
            <w:r>
              <w:rPr>
                <w:b/>
                <w:bCs/>
                <w:sz w:val="24"/>
                <w:u w:val="single"/>
              </w:rPr>
              <w:t>CD</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b/>
                <w:bCs/>
                <w:sz w:val="24"/>
                <w:u w:val="single"/>
              </w:rPr>
            </w:pPr>
            <w:r>
              <w:rPr>
                <w:b/>
                <w:bCs/>
                <w:sz w:val="24"/>
                <w:u w:val="single"/>
              </w:rPr>
              <w:t>Party</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John McCain</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AZ</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Sen.</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GOP</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John Shadegg</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AZ</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rPr>
                <w:color w:val="000000"/>
                <w:sz w:val="24"/>
              </w:rPr>
            </w:pPr>
            <w:r>
              <w:rPr>
                <w:color w:val="000000"/>
                <w:sz w:val="24"/>
              </w:rPr>
              <w:t>4</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GOP</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Christopher Cox</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CA</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rPr>
                <w:color w:val="000000"/>
                <w:sz w:val="24"/>
              </w:rPr>
            </w:pPr>
            <w:r>
              <w:rPr>
                <w:color w:val="000000"/>
                <w:sz w:val="24"/>
              </w:rPr>
              <w:t>47</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GOP</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Brian Bilbray</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CA</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rPr>
                <w:color w:val="000000"/>
                <w:sz w:val="24"/>
              </w:rPr>
            </w:pPr>
            <w:r>
              <w:rPr>
                <w:color w:val="000000"/>
                <w:sz w:val="24"/>
              </w:rPr>
              <w:t>49</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GOP</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Sam Brownback</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KS</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Sen.</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GOP</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Billy Tauzin</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LA</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rPr>
                <w:color w:val="000000"/>
                <w:sz w:val="24"/>
              </w:rPr>
            </w:pPr>
            <w:r>
              <w:rPr>
                <w:color w:val="000000"/>
                <w:sz w:val="24"/>
              </w:rPr>
              <w:t>3</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GOP</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Spencer Abraham</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MI</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Sen.</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GOP</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John Dingell</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MI</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rPr>
                <w:color w:val="000000"/>
                <w:sz w:val="24"/>
              </w:rPr>
            </w:pPr>
            <w:r>
              <w:rPr>
                <w:color w:val="000000"/>
                <w:sz w:val="24"/>
              </w:rPr>
              <w:t>16</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Dem.</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John Ashcroft</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MO</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Sen.</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GOP</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Trent Lott</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MS</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Sen.</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GOP</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Byron Dorgan</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ND</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Sen.</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GOP</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Rick Lazio</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NY</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rPr>
                <w:color w:val="000000"/>
                <w:sz w:val="24"/>
              </w:rPr>
            </w:pPr>
            <w:r>
              <w:rPr>
                <w:color w:val="000000"/>
                <w:sz w:val="24"/>
              </w:rPr>
              <w:t>2</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GOP</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Michael Oxley</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OH</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rPr>
                <w:color w:val="000000"/>
                <w:sz w:val="24"/>
              </w:rPr>
            </w:pPr>
            <w:r>
              <w:rPr>
                <w:color w:val="000000"/>
                <w:sz w:val="24"/>
              </w:rPr>
              <w:t>4</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GOP</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Steve Largent</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OK</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rPr>
                <w:color w:val="000000"/>
                <w:sz w:val="24"/>
              </w:rPr>
            </w:pPr>
            <w:r>
              <w:rPr>
                <w:color w:val="000000"/>
                <w:sz w:val="24"/>
              </w:rPr>
              <w:t>1</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GOP</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Ernest Hollings</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SC</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Sen.</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Dem.</w:t>
            </w:r>
          </w:p>
        </w:tc>
      </w:tr>
      <w:tr>
        <w:trPr/>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Rick Boucher</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VA</w:t>
            </w:r>
          </w:p>
        </w:tc>
        <w:tc>
          <w:tcPr>
            <w:tcW w:w="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rPr>
                <w:color w:val="000000"/>
                <w:sz w:val="24"/>
              </w:rPr>
            </w:pPr>
            <w:r>
              <w:rPr>
                <w:color w:val="000000"/>
                <w:sz w:val="24"/>
              </w:rPr>
              <w:t>9</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autoSpaceDE w:val="false"/>
              <w:jc w:val="both"/>
              <w:rPr>
                <w:color w:val="000000"/>
                <w:sz w:val="24"/>
              </w:rPr>
            </w:pPr>
            <w:r>
              <w:rPr>
                <w:color w:val="000000"/>
                <w:sz w:val="24"/>
              </w:rPr>
              <w:t>Dem.</w:t>
            </w:r>
          </w:p>
        </w:tc>
      </w:tr>
    </w:tbl>
    <w:p>
      <w:pPr>
        <w:pStyle w:val="Normal"/>
        <w:tabs>
          <w:tab w:val="clear" w:pos="720"/>
          <w:tab w:val="left" w:pos="8550" w:leader="none"/>
        </w:tabs>
        <w:autoSpaceDE w:val="false"/>
        <w:jc w:val="both"/>
        <w:rPr>
          <w:b/>
          <w:bCs/>
          <w:sz w:val="24"/>
        </w:rPr>
      </w:pPr>
      <w:r>
        <w:rPr>
          <w:b/>
          <w:bCs/>
          <w:sz w:val="24"/>
        </w:rPr>
      </w:r>
    </w:p>
    <w:p>
      <w:pPr>
        <w:pStyle w:val="Normal"/>
        <w:tabs>
          <w:tab w:val="clear" w:pos="720"/>
          <w:tab w:val="left" w:pos="8550" w:leader="none"/>
        </w:tabs>
        <w:autoSpaceDE w:val="false"/>
        <w:jc w:val="both"/>
        <w:rPr>
          <w:b/>
          <w:bCs/>
          <w:sz w:val="24"/>
        </w:rPr>
      </w:pPr>
      <w:r>
        <w:rPr>
          <w:b/>
          <w:bCs/>
          <w:sz w:val="24"/>
        </w:rPr>
      </w:r>
    </w:p>
    <w:p>
      <w:pPr>
        <w:pStyle w:val="Normal"/>
        <w:tabs>
          <w:tab w:val="clear" w:pos="720"/>
          <w:tab w:val="left" w:pos="8550" w:leader="none"/>
        </w:tabs>
        <w:autoSpaceDE w:val="false"/>
        <w:jc w:val="both"/>
        <w:rPr>
          <w:b/>
          <w:bCs/>
          <w:sz w:val="24"/>
        </w:rPr>
      </w:pPr>
      <w:r>
        <w:rPr>
          <w:b/>
          <w:bCs/>
          <w:sz w:val="24"/>
        </w:rPr>
      </w:r>
    </w:p>
    <w:p>
      <w:pPr>
        <w:pStyle w:val="Normal"/>
        <w:tabs>
          <w:tab w:val="clear" w:pos="720"/>
          <w:tab w:val="left" w:pos="8550" w:leader="none"/>
        </w:tabs>
        <w:autoSpaceDE w:val="false"/>
        <w:jc w:val="both"/>
        <w:rPr>
          <w:b/>
          <w:bCs/>
          <w:sz w:val="24"/>
        </w:rPr>
      </w:pPr>
      <w:r>
        <w:rPr>
          <w:b/>
          <w:bCs/>
          <w:sz w:val="24"/>
        </w:rPr>
      </w:r>
    </w:p>
    <w:p>
      <w:pPr>
        <w:pStyle w:val="BodyText"/>
        <w:tabs>
          <w:tab w:val="clear" w:pos="720"/>
          <w:tab w:val="left" w:pos="8550" w:leader="none"/>
        </w:tabs>
        <w:autoSpaceDE w:val="false"/>
        <w:jc w:val="both"/>
        <w:rPr/>
      </w:pPr>
      <w:r>
        <w:rPr/>
        <w:t>The budget for reaching these elected officials is as follows:</w:t>
      </w:r>
    </w:p>
    <w:p>
      <w:pPr>
        <w:pStyle w:val="BodyText"/>
        <w:tabs>
          <w:tab w:val="clear" w:pos="720"/>
          <w:tab w:val="left" w:pos="8550" w:leader="none"/>
        </w:tabs>
        <w:autoSpaceDE w:val="false"/>
        <w:jc w:val="both"/>
        <w:rPr/>
      </w:pPr>
      <w:r>
        <w:rPr/>
      </w:r>
    </w:p>
    <w:p>
      <w:pPr>
        <w:pStyle w:val="Normal"/>
        <w:tabs>
          <w:tab w:val="clear" w:pos="720"/>
          <w:tab w:val="left" w:pos="8550" w:leader="none"/>
        </w:tabs>
        <w:autoSpaceDE w:val="false"/>
        <w:jc w:val="both"/>
        <w:rPr>
          <w:sz w:val="24"/>
        </w:rPr>
      </w:pPr>
      <w:r>
        <w:rPr>
          <w:sz w:val="24"/>
        </w:rPr>
      </w:r>
    </w:p>
    <w:p>
      <w:pPr>
        <w:pStyle w:val="Heading1"/>
        <w:tabs>
          <w:tab w:val="clear" w:pos="720"/>
          <w:tab w:val="left" w:pos="8550" w:leader="none"/>
        </w:tabs>
        <w:autoSpaceDE w:val="false"/>
        <w:ind w:hanging="0" w:start="0"/>
        <w:jc w:val="both"/>
        <w:rPr>
          <w:bCs/>
        </w:rPr>
      </w:pPr>
      <w:r>
        <w:rPr>
          <w:bCs/>
        </w:rPr>
        <w:t>Plan A</w:t>
      </w:r>
    </w:p>
    <w:p>
      <w:pPr>
        <w:pStyle w:val="Normal"/>
        <w:tabs>
          <w:tab w:val="clear" w:pos="720"/>
          <w:tab w:val="left" w:pos="8550" w:leader="none"/>
        </w:tabs>
        <w:jc w:val="both"/>
        <w:rPr>
          <w:bCs/>
          <w:sz w:val="24"/>
        </w:rPr>
      </w:pPr>
      <w:r>
        <w:rPr>
          <w:bCs/>
          <w:sz w:val="24"/>
        </w:rPr>
      </w:r>
    </w:p>
    <w:tbl>
      <w:tblPr>
        <w:tblW w:w="7524" w:type="dxa"/>
        <w:jc w:val="center"/>
        <w:tblInd w:w="0" w:type="dxa"/>
        <w:tblLayout w:type="fixed"/>
        <w:tblCellMar>
          <w:top w:w="0" w:type="dxa"/>
          <w:start w:w="108" w:type="dxa"/>
          <w:bottom w:w="0" w:type="dxa"/>
          <w:end w:w="108" w:type="dxa"/>
        </w:tblCellMar>
      </w:tblPr>
      <w:tblGrid>
        <w:gridCol w:w="3348"/>
        <w:gridCol w:w="3060"/>
        <w:gridCol w:w="1116"/>
      </w:tblGrid>
      <w:tr>
        <w:trPr/>
        <w:tc>
          <w:tcPr>
            <w:tcW w:w="3348" w:type="dxa"/>
            <w:tcBorders>
              <w:top w:val="single" w:sz="4" w:space="0" w:color="000000"/>
              <w:start w:val="single" w:sz="4" w:space="0" w:color="000000"/>
              <w:bottom w:val="single" w:sz="4" w:space="0" w:color="000000"/>
              <w:end w:val="single" w:sz="4" w:space="0" w:color="000000"/>
            </w:tcBorders>
          </w:tcPr>
          <w:p>
            <w:pPr>
              <w:pStyle w:val="Heading9"/>
              <w:tabs>
                <w:tab w:val="clear" w:pos="720"/>
                <w:tab w:val="left" w:pos="8550" w:leader="none"/>
              </w:tabs>
              <w:ind w:hanging="0" w:start="0"/>
              <w:jc w:val="both"/>
              <w:rPr>
                <w:sz w:val="24"/>
              </w:rPr>
            </w:pPr>
            <w:r>
              <w:rPr>
                <w:sz w:val="24"/>
              </w:rPr>
              <w:t>Items</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b/>
                <w:bCs/>
                <w:sz w:val="24"/>
                <w:u w:val="single"/>
              </w:rPr>
            </w:pPr>
            <w:r>
              <w:rPr>
                <w:b/>
                <w:bCs/>
                <w:sz w:val="24"/>
                <w:u w:val="single"/>
              </w:rPr>
              <w:t>Rate</w:t>
            </w:r>
          </w:p>
        </w:tc>
        <w:tc>
          <w:tcPr>
            <w:tcW w:w="11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b/>
                <w:bCs/>
                <w:sz w:val="24"/>
                <w:u w:val="single"/>
              </w:rPr>
            </w:pPr>
            <w:r>
              <w:rPr>
                <w:b/>
                <w:bCs/>
                <w:sz w:val="24"/>
                <w:u w:val="single"/>
              </w:rPr>
              <w:t>Budget</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sz w:val="24"/>
              </w:rPr>
            </w:pPr>
            <w:r>
              <w:rPr>
                <w:sz w:val="24"/>
              </w:rPr>
              <w:t>Grasstops letters</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sz w:val="24"/>
              </w:rPr>
            </w:pPr>
            <w:r>
              <w:rPr>
                <w:sz w:val="24"/>
              </w:rPr>
              <w:t>18 letters/official x 15 officials @ $500 each</w:t>
            </w:r>
          </w:p>
        </w:tc>
        <w:tc>
          <w:tcPr>
            <w:tcW w:w="11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sz w:val="24"/>
              </w:rPr>
            </w:pPr>
            <w:r>
              <w:rPr>
                <w:sz w:val="24"/>
              </w:rPr>
              <w:t>$135,000</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sz w:val="24"/>
              </w:rPr>
            </w:pPr>
            <w:r>
              <w:rPr>
                <w:sz w:val="24"/>
              </w:rPr>
              <w:t>State Management Fees</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rPr>
                <w:sz w:val="24"/>
              </w:rPr>
            </w:pPr>
            <w:r>
              <w:rPr>
                <w:sz w:val="24"/>
              </w:rPr>
              <w:t xml:space="preserve">$3,000/mo. x 3 states x 3 months </w:t>
            </w:r>
          </w:p>
        </w:tc>
        <w:tc>
          <w:tcPr>
            <w:tcW w:w="11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sz w:val="24"/>
              </w:rPr>
            </w:pPr>
            <w:r>
              <w:rPr>
                <w:sz w:val="24"/>
              </w:rPr>
              <w:t>$27,000</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sz w:val="24"/>
              </w:rPr>
            </w:pPr>
            <w:r>
              <w:rPr>
                <w:sz w:val="24"/>
              </w:rPr>
              <w:t>Op eds, Letters to Editor</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rPr>
                <w:sz w:val="24"/>
              </w:rPr>
            </w:pPr>
            <w:r>
              <w:rPr>
                <w:sz w:val="24"/>
              </w:rPr>
              <w:t>15 x $1,000 ea.</w:t>
            </w:r>
          </w:p>
        </w:tc>
        <w:tc>
          <w:tcPr>
            <w:tcW w:w="11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sz w:val="24"/>
              </w:rPr>
            </w:pPr>
            <w:r>
              <w:rPr>
                <w:sz w:val="24"/>
              </w:rPr>
              <w:t>$15,000</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b/>
                <w:bCs/>
                <w:sz w:val="24"/>
              </w:rPr>
            </w:pPr>
            <w:r>
              <w:rPr>
                <w:b/>
                <w:bCs/>
                <w:sz w:val="24"/>
              </w:rPr>
              <w:t xml:space="preserve">Total </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snapToGrid w:val="false"/>
              <w:jc w:val="both"/>
              <w:rPr>
                <w:b/>
                <w:bCs/>
                <w:sz w:val="24"/>
              </w:rPr>
            </w:pPr>
            <w:r>
              <w:rPr>
                <w:b/>
                <w:bCs/>
                <w:sz w:val="24"/>
              </w:rPr>
            </w:r>
          </w:p>
        </w:tc>
        <w:tc>
          <w:tcPr>
            <w:tcW w:w="11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b/>
                <w:bCs/>
                <w:sz w:val="24"/>
              </w:rPr>
            </w:pPr>
            <w:r>
              <w:rPr>
                <w:b/>
                <w:bCs/>
                <w:sz w:val="24"/>
              </w:rPr>
              <w:t>$177,000</w:t>
            </w:r>
          </w:p>
        </w:tc>
      </w:tr>
    </w:tbl>
    <w:p>
      <w:pPr>
        <w:pStyle w:val="Footer"/>
        <w:tabs>
          <w:tab w:val="clear" w:pos="4320"/>
          <w:tab w:val="clear" w:pos="8640"/>
          <w:tab w:val="left" w:pos="5670" w:leader="none"/>
          <w:tab w:val="left" w:pos="8550" w:leader="none"/>
        </w:tabs>
        <w:jc w:val="both"/>
        <w:rPr>
          <w:sz w:val="24"/>
        </w:rPr>
      </w:pPr>
      <w:r>
        <w:rPr>
          <w:sz w:val="24"/>
        </w:rPr>
      </w:r>
    </w:p>
    <w:p>
      <w:pPr>
        <w:pStyle w:val="Normal"/>
        <w:tabs>
          <w:tab w:val="clear" w:pos="720"/>
          <w:tab w:val="left" w:pos="8550" w:leader="none"/>
        </w:tabs>
        <w:autoSpaceDE w:val="false"/>
        <w:jc w:val="both"/>
        <w:rPr>
          <w:b/>
          <w:bCs/>
          <w:sz w:val="24"/>
        </w:rPr>
      </w:pPr>
      <w:r>
        <w:rPr>
          <w:b/>
          <w:bCs/>
          <w:sz w:val="24"/>
        </w:rPr>
      </w:r>
    </w:p>
    <w:p>
      <w:pPr>
        <w:pStyle w:val="Normal"/>
        <w:tabs>
          <w:tab w:val="clear" w:pos="720"/>
          <w:tab w:val="left" w:pos="8550" w:leader="none"/>
        </w:tabs>
        <w:autoSpaceDE w:val="false"/>
        <w:rPr>
          <w:b/>
          <w:bCs/>
          <w:sz w:val="24"/>
        </w:rPr>
      </w:pPr>
      <w:r>
        <w:rPr>
          <w:b/>
          <w:bCs/>
          <w:sz w:val="24"/>
        </w:rPr>
        <w:t>Additional Recommendations</w:t>
      </w:r>
    </w:p>
    <w:p>
      <w:pPr>
        <w:pStyle w:val="Normal"/>
        <w:tabs>
          <w:tab w:val="clear" w:pos="720"/>
          <w:tab w:val="left" w:pos="8550" w:leader="none"/>
        </w:tabs>
        <w:autoSpaceDE w:val="false"/>
        <w:rPr>
          <w:b/>
          <w:bCs/>
          <w:sz w:val="24"/>
        </w:rPr>
      </w:pPr>
      <w:r>
        <w:rPr>
          <w:b/>
          <w:bCs/>
          <w:sz w:val="24"/>
        </w:rPr>
      </w:r>
    </w:p>
    <w:p>
      <w:pPr>
        <w:pStyle w:val="Normal"/>
        <w:tabs>
          <w:tab w:val="clear" w:pos="720"/>
          <w:tab w:val="left" w:pos="8550" w:leader="none"/>
        </w:tabs>
        <w:autoSpaceDE w:val="false"/>
        <w:rPr/>
      </w:pPr>
      <w:r>
        <w:rPr>
          <w:b/>
          <w:bCs/>
          <w:sz w:val="24"/>
        </w:rPr>
        <w:t>Coalition Building</w:t>
      </w:r>
      <w:r>
        <w:rPr>
          <w:sz w:val="24"/>
        </w:rPr>
        <w:t>.  The advantages of deregulation offer opportunities to organize the leaders of diverse organizations around this issue.  The potential for lower prices and greater choices will appeal to minority groups, the anti-monopoly/elitism argument appeals to pro-family organizations, and the business leaders can be rallied around the this common cause.  Century’s long history or organizing these groups makes us ideally situated to build a broad coalition by personally educating key leaders on the issue.</w:t>
      </w:r>
    </w:p>
    <w:p>
      <w:pPr>
        <w:pStyle w:val="Normal"/>
        <w:tabs>
          <w:tab w:val="clear" w:pos="720"/>
          <w:tab w:val="left" w:pos="8550" w:leader="none"/>
        </w:tabs>
        <w:autoSpaceDE w:val="false"/>
        <w:rPr>
          <w:sz w:val="24"/>
        </w:rPr>
      </w:pPr>
      <w:r>
        <w:rPr>
          <w:sz w:val="24"/>
        </w:rPr>
      </w:r>
    </w:p>
    <w:p>
      <w:pPr>
        <w:pStyle w:val="Normal"/>
        <w:tabs>
          <w:tab w:val="clear" w:pos="720"/>
          <w:tab w:val="left" w:pos="8550" w:leader="none"/>
        </w:tabs>
        <w:autoSpaceDE w:val="false"/>
        <w:rPr>
          <w:sz w:val="24"/>
        </w:rPr>
      </w:pPr>
      <w:r>
        <w:rPr>
          <w:sz w:val="24"/>
        </w:rPr>
        <w:t xml:space="preserve">As these coalitions evolve, we will determine the best way to present this coalition to the elected officials.  Letters to the committee under a combined letterhead, a press conference or rally, or individual statements from the organizations can be very effective.   </w:t>
      </w:r>
    </w:p>
    <w:p>
      <w:pPr>
        <w:pStyle w:val="Normal"/>
        <w:tabs>
          <w:tab w:val="clear" w:pos="720"/>
          <w:tab w:val="left" w:pos="8550" w:leader="none"/>
        </w:tabs>
        <w:autoSpaceDE w:val="false"/>
        <w:rPr>
          <w:sz w:val="24"/>
        </w:rPr>
      </w:pPr>
      <w:r>
        <w:rPr>
          <w:sz w:val="24"/>
        </w:rPr>
      </w:r>
    </w:p>
    <w:p>
      <w:pPr>
        <w:pStyle w:val="Normal"/>
        <w:tabs>
          <w:tab w:val="clear" w:pos="720"/>
          <w:tab w:val="left" w:pos="8550" w:leader="none"/>
        </w:tabs>
        <w:autoSpaceDE w:val="false"/>
        <w:rPr/>
      </w:pPr>
      <w:r>
        <w:rPr>
          <w:b/>
          <w:bCs/>
          <w:sz w:val="24"/>
        </w:rPr>
        <w:t xml:space="preserve">Direct Mail.  </w:t>
      </w:r>
      <w:r>
        <w:rPr>
          <w:sz w:val="24"/>
        </w:rPr>
        <w:t xml:space="preserve">Our proprietary lists of citizen-activists and registered voters---cross-tabbed with key demographics such as gender, voting history, and ethnicity---will enable us to reach thousands of constituents with a targeted message urging them to contact their member of Congress or state legislator.  These programs are highly effective.  For one client, we generated a greater number of contacts to a U.S. Senate office that then it received during impeachment.  We generally recommend mailings of 10-20,000 pieces per Congressional district, and larger mailings for statewide officeholders. </w:t>
      </w:r>
    </w:p>
    <w:p>
      <w:pPr>
        <w:pStyle w:val="Normal"/>
        <w:tabs>
          <w:tab w:val="clear" w:pos="720"/>
          <w:tab w:val="left" w:pos="8550" w:leader="none"/>
        </w:tabs>
        <w:autoSpaceDE w:val="false"/>
        <w:rPr>
          <w:sz w:val="24"/>
        </w:rPr>
      </w:pPr>
      <w:r>
        <w:rPr>
          <w:sz w:val="24"/>
        </w:rPr>
      </w:r>
    </w:p>
    <w:p>
      <w:pPr>
        <w:pStyle w:val="Normal"/>
        <w:tabs>
          <w:tab w:val="clear" w:pos="720"/>
          <w:tab w:val="left" w:pos="8550" w:leader="none"/>
        </w:tabs>
        <w:autoSpaceDE w:val="false"/>
        <w:rPr/>
      </w:pPr>
      <w:r>
        <w:rPr>
          <w:b/>
          <w:bCs/>
          <w:sz w:val="24"/>
        </w:rPr>
        <w:t>Opinion Pieces/Letters to the Editor.</w:t>
      </w:r>
      <w:r>
        <w:rPr>
          <w:sz w:val="24"/>
        </w:rPr>
        <w:t xml:space="preserve">  This program is referenced above on a smaller scale.  It can be broadened based on your needs.  Century has recently placed opinion pieces in the </w:t>
      </w:r>
      <w:r>
        <w:rPr>
          <w:i/>
          <w:iCs/>
          <w:sz w:val="24"/>
        </w:rPr>
        <w:t>New York Times</w:t>
      </w:r>
      <w:r>
        <w:rPr>
          <w:sz w:val="24"/>
        </w:rPr>
        <w:t xml:space="preserve">, </w:t>
      </w:r>
      <w:r>
        <w:rPr>
          <w:i/>
          <w:iCs/>
          <w:sz w:val="24"/>
        </w:rPr>
        <w:t xml:space="preserve">Washington Post </w:t>
      </w:r>
      <w:r>
        <w:rPr>
          <w:sz w:val="24"/>
        </w:rPr>
        <w:t>and other national publications.  In addition, our nationwide networks enable us to place a series of opinion pieces and letters to the editor in key media markets throughout the country, each signed by a prominent regional opinion leader.  These op eds and letters are then blast-faxed to elected officials, opinion leaders, and civic activists for use in their own letters and public statements.</w:t>
      </w:r>
    </w:p>
    <w:p>
      <w:pPr>
        <w:pStyle w:val="Normal"/>
        <w:tabs>
          <w:tab w:val="clear" w:pos="720"/>
          <w:tab w:val="left" w:pos="8550" w:leader="none"/>
        </w:tabs>
        <w:autoSpaceDE w:val="false"/>
        <w:rPr>
          <w:sz w:val="24"/>
        </w:rPr>
      </w:pPr>
      <w:r>
        <w:rPr>
          <w:sz w:val="24"/>
        </w:rPr>
      </w:r>
    </w:p>
    <w:p>
      <w:pPr>
        <w:pStyle w:val="Normal"/>
        <w:tabs>
          <w:tab w:val="clear" w:pos="720"/>
          <w:tab w:val="left" w:pos="8550" w:leader="none"/>
        </w:tabs>
        <w:autoSpaceDE w:val="false"/>
        <w:rPr/>
      </w:pPr>
      <w:r>
        <w:rPr>
          <w:b/>
          <w:bCs/>
          <w:sz w:val="24"/>
        </w:rPr>
        <w:t xml:space="preserve">Telemarketing.  </w:t>
      </w:r>
      <w:r>
        <w:rPr>
          <w:sz w:val="24"/>
        </w:rPr>
        <w:t>Effective telemarketing, both patch-through calls and live operator educational calls, can greatly boost the impact of grassroots on elected officials.  For one recent client, we generated more calls to a U.S. Senate office than had been received since impeachment.  The result was a major victory for the client, defeating an attempt to reduce its funding in an appropriations bill.</w:t>
      </w:r>
    </w:p>
    <w:p>
      <w:pPr>
        <w:pStyle w:val="Normal"/>
        <w:tabs>
          <w:tab w:val="clear" w:pos="720"/>
          <w:tab w:val="left" w:pos="8550" w:leader="none"/>
        </w:tabs>
        <w:autoSpaceDE w:val="false"/>
        <w:rPr>
          <w:sz w:val="24"/>
        </w:rPr>
      </w:pPr>
      <w:r>
        <w:rPr>
          <w:sz w:val="24"/>
        </w:rPr>
      </w:r>
    </w:p>
    <w:p>
      <w:pPr>
        <w:pStyle w:val="Normal"/>
        <w:tabs>
          <w:tab w:val="clear" w:pos="720"/>
          <w:tab w:val="left" w:pos="8550" w:leader="none"/>
        </w:tabs>
        <w:autoSpaceDE w:val="false"/>
        <w:rPr/>
      </w:pPr>
      <w:r>
        <w:rPr>
          <w:b/>
          <w:bCs/>
          <w:sz w:val="24"/>
        </w:rPr>
        <w:t xml:space="preserve">Talk Radio Tour.  </w:t>
      </w:r>
      <w:r>
        <w:rPr>
          <w:sz w:val="24"/>
        </w:rPr>
        <w:t>Nationally, conservative news-talk programs have an audience of more than 40 million listeners.  Because such a high percentage of conservative and faith-based activists regularly listen to these programs as an alternative source of news and information, we have had great success in the past getting out a message for clients through these outlets.  Our public relations team has extensive experience booking guests on talk radio shows, and has excellent working relationships with many hosts and their producers.</w:t>
      </w:r>
    </w:p>
    <w:p>
      <w:pPr>
        <w:pStyle w:val="Normal"/>
        <w:tabs>
          <w:tab w:val="clear" w:pos="720"/>
          <w:tab w:val="left" w:pos="8550" w:leader="none"/>
        </w:tabs>
        <w:autoSpaceDE w:val="false"/>
        <w:jc w:val="both"/>
        <w:rPr>
          <w:sz w:val="24"/>
        </w:rPr>
      </w:pPr>
      <w:r>
        <w:rPr>
          <w:sz w:val="24"/>
        </w:rPr>
      </w:r>
    </w:p>
    <w:p>
      <w:pPr>
        <w:pStyle w:val="Normal"/>
        <w:tabs>
          <w:tab w:val="clear" w:pos="720"/>
          <w:tab w:val="left" w:pos="8550" w:leader="none"/>
        </w:tabs>
        <w:autoSpaceDE w:val="false"/>
        <w:jc w:val="both"/>
        <w:rPr>
          <w:sz w:val="24"/>
        </w:rPr>
      </w:pPr>
      <w:r>
        <w:rPr>
          <w:sz w:val="24"/>
        </w:rPr>
      </w:r>
    </w:p>
    <w:p>
      <w:pPr>
        <w:pStyle w:val="Footer"/>
        <w:tabs>
          <w:tab w:val="clear" w:pos="4320"/>
          <w:tab w:val="clear" w:pos="8640"/>
          <w:tab w:val="left" w:pos="5670" w:leader="none"/>
          <w:tab w:val="left" w:pos="8550" w:leader="none"/>
        </w:tabs>
        <w:jc w:val="both"/>
        <w:rPr>
          <w:b/>
          <w:bCs/>
          <w:sz w:val="24"/>
        </w:rPr>
      </w:pPr>
      <w:r>
        <w:rPr>
          <w:b/>
          <w:bCs/>
          <w:sz w:val="24"/>
        </w:rPr>
        <w:t>Plan B</w:t>
      </w:r>
    </w:p>
    <w:p>
      <w:pPr>
        <w:pStyle w:val="Footer"/>
        <w:tabs>
          <w:tab w:val="clear" w:pos="4320"/>
          <w:tab w:val="clear" w:pos="8640"/>
          <w:tab w:val="left" w:pos="5670" w:leader="none"/>
          <w:tab w:val="left" w:pos="8550" w:leader="none"/>
        </w:tabs>
        <w:jc w:val="both"/>
        <w:rPr>
          <w:b/>
          <w:bCs/>
          <w:sz w:val="24"/>
        </w:rPr>
      </w:pPr>
      <w:r>
        <w:rPr>
          <w:b/>
          <w:bCs/>
          <w:sz w:val="24"/>
        </w:rPr>
      </w:r>
    </w:p>
    <w:tbl>
      <w:tblPr>
        <w:tblW w:w="7524" w:type="dxa"/>
        <w:jc w:val="center"/>
        <w:tblInd w:w="0" w:type="dxa"/>
        <w:tblLayout w:type="fixed"/>
        <w:tblCellMar>
          <w:top w:w="0" w:type="dxa"/>
          <w:start w:w="108" w:type="dxa"/>
          <w:bottom w:w="0" w:type="dxa"/>
          <w:end w:w="108" w:type="dxa"/>
        </w:tblCellMar>
      </w:tblPr>
      <w:tblGrid>
        <w:gridCol w:w="3348"/>
        <w:gridCol w:w="3060"/>
        <w:gridCol w:w="1116"/>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b/>
                <w:bCs/>
                <w:sz w:val="24"/>
                <w:u w:val="single"/>
              </w:rPr>
            </w:pPr>
            <w:r>
              <w:rPr>
                <w:b/>
                <w:bCs/>
                <w:sz w:val="24"/>
                <w:u w:val="single"/>
              </w:rPr>
              <w:t>Items</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b/>
                <w:bCs/>
                <w:sz w:val="24"/>
                <w:u w:val="single"/>
              </w:rPr>
            </w:pPr>
            <w:r>
              <w:rPr>
                <w:b/>
                <w:bCs/>
                <w:sz w:val="24"/>
                <w:u w:val="single"/>
              </w:rPr>
              <w:t>Rate</w:t>
            </w:r>
          </w:p>
        </w:tc>
        <w:tc>
          <w:tcPr>
            <w:tcW w:w="11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b/>
                <w:bCs/>
                <w:sz w:val="24"/>
                <w:u w:val="single"/>
              </w:rPr>
            </w:pPr>
            <w:r>
              <w:rPr>
                <w:b/>
                <w:bCs/>
                <w:sz w:val="24"/>
                <w:u w:val="single"/>
              </w:rPr>
              <w:t>Budget</w:t>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3"/>
              <w:tabs>
                <w:tab w:val="clear" w:pos="720"/>
                <w:tab w:val="left" w:pos="8550" w:leader="none"/>
              </w:tabs>
              <w:spacing w:before="0" w:after="0"/>
              <w:ind w:hanging="0" w:start="0"/>
              <w:jc w:val="both"/>
              <w:rPr>
                <w:rFonts w:ascii="Times New Roman" w:hAnsi="Times New Roman" w:cs="Times New Roman"/>
              </w:rPr>
            </w:pPr>
            <w:r>
              <w:rPr>
                <w:rFonts w:cs="Times New Roman" w:ascii="Times New Roman" w:hAnsi="Times New Roman"/>
              </w:rPr>
              <w:t>Coalition Building (Business, Minority and Third parties)</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snapToGrid w:val="false"/>
              <w:jc w:val="both"/>
              <w:rPr>
                <w:rFonts w:ascii="Times New Roman" w:hAnsi="Times New Roman" w:cs="Times New Roman"/>
                <w:b/>
                <w:bCs/>
                <w:sz w:val="24"/>
                <w:u w:val="single"/>
              </w:rPr>
            </w:pPr>
            <w:r>
              <w:rPr>
                <w:rFonts w:cs="Times New Roman"/>
                <w:b/>
                <w:bCs/>
                <w:sz w:val="24"/>
                <w:u w:val="single"/>
              </w:rPr>
            </w:r>
          </w:p>
        </w:tc>
        <w:tc>
          <w:tcPr>
            <w:tcW w:w="1116" w:type="dxa"/>
            <w:tcBorders>
              <w:top w:val="single" w:sz="4" w:space="0" w:color="000000"/>
              <w:start w:val="single" w:sz="4" w:space="0" w:color="000000"/>
              <w:bottom w:val="single" w:sz="4" w:space="0" w:color="000000"/>
              <w:end w:val="single" w:sz="4" w:space="0" w:color="000000"/>
            </w:tcBorders>
          </w:tcPr>
          <w:p>
            <w:pPr>
              <w:pStyle w:val="TOC1"/>
              <w:tabs>
                <w:tab w:val="clear" w:pos="720"/>
                <w:tab w:val="left" w:pos="8550" w:leader="none"/>
              </w:tabs>
              <w:jc w:val="both"/>
              <w:rPr/>
            </w:pPr>
            <w:r>
              <w:rPr/>
              <w:t>$30,000</w:t>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3"/>
              <w:tabs>
                <w:tab w:val="clear" w:pos="720"/>
                <w:tab w:val="left" w:pos="8550" w:leader="none"/>
              </w:tabs>
              <w:spacing w:before="0" w:after="0"/>
              <w:ind w:hanging="0" w:start="0"/>
              <w:jc w:val="both"/>
              <w:rPr>
                <w:rFonts w:ascii="Times New Roman" w:hAnsi="Times New Roman" w:cs="Times New Roman"/>
              </w:rPr>
            </w:pPr>
            <w:r>
              <w:rPr>
                <w:rFonts w:cs="Times New Roman" w:ascii="Times New Roman" w:hAnsi="Times New Roman"/>
              </w:rPr>
              <w:t>Telemarketing</w:t>
            </w:r>
          </w:p>
        </w:tc>
        <w:tc>
          <w:tcPr>
            <w:tcW w:w="3060" w:type="dxa"/>
            <w:tcBorders>
              <w:top w:val="single" w:sz="4" w:space="0" w:color="000000"/>
              <w:start w:val="single" w:sz="4" w:space="0" w:color="000000"/>
              <w:bottom w:val="single" w:sz="4" w:space="0" w:color="000000"/>
              <w:end w:val="single" w:sz="4" w:space="0" w:color="000000"/>
            </w:tcBorders>
          </w:tcPr>
          <w:p>
            <w:pPr>
              <w:pStyle w:val="TOC1"/>
              <w:tabs>
                <w:tab w:val="clear" w:pos="720"/>
                <w:tab w:val="left" w:pos="8550" w:leader="none"/>
              </w:tabs>
              <w:jc w:val="both"/>
              <w:rPr/>
            </w:pPr>
            <w:r>
              <w:rPr/>
              <w:t>10 Districts/states x 10,000 calls x .72/completed call , Patch-through calls, 10 Districts x 20 comm./hrs. x $37.50/hr</w:t>
            </w:r>
          </w:p>
          <w:p>
            <w:pPr>
              <w:pStyle w:val="Normal"/>
              <w:rPr/>
            </w:pPr>
            <w:r>
              <w:rPr/>
            </w:r>
          </w:p>
        </w:tc>
        <w:tc>
          <w:tcPr>
            <w:tcW w:w="1116" w:type="dxa"/>
            <w:tcBorders>
              <w:top w:val="single" w:sz="4" w:space="0" w:color="000000"/>
              <w:start w:val="single" w:sz="4" w:space="0" w:color="000000"/>
              <w:bottom w:val="single" w:sz="4" w:space="0" w:color="000000"/>
              <w:end w:val="single" w:sz="4" w:space="0" w:color="000000"/>
            </w:tcBorders>
          </w:tcPr>
          <w:p>
            <w:pPr>
              <w:pStyle w:val="TOC1"/>
              <w:tabs>
                <w:tab w:val="clear" w:pos="720"/>
                <w:tab w:val="left" w:pos="8550" w:leader="none"/>
              </w:tabs>
              <w:jc w:val="both"/>
              <w:rPr/>
            </w:pPr>
            <w:r>
              <w:rPr/>
              <w:t>$79,500</w:t>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3"/>
              <w:tabs>
                <w:tab w:val="clear" w:pos="720"/>
                <w:tab w:val="left" w:pos="8550" w:leader="none"/>
              </w:tabs>
              <w:spacing w:before="0" w:after="0"/>
              <w:ind w:hanging="0" w:start="0"/>
              <w:jc w:val="both"/>
              <w:rPr>
                <w:rFonts w:ascii="Times New Roman" w:hAnsi="Times New Roman" w:cs="Times New Roman"/>
              </w:rPr>
            </w:pPr>
            <w:r>
              <w:rPr>
                <w:rFonts w:cs="Times New Roman" w:ascii="Times New Roman" w:hAnsi="Times New Roman"/>
              </w:rPr>
              <w:t>Talk Radio Tour</w:t>
            </w:r>
          </w:p>
        </w:tc>
        <w:tc>
          <w:tcPr>
            <w:tcW w:w="3060" w:type="dxa"/>
            <w:tcBorders>
              <w:top w:val="single" w:sz="4" w:space="0" w:color="000000"/>
              <w:start w:val="single" w:sz="4" w:space="0" w:color="000000"/>
              <w:bottom w:val="single" w:sz="4" w:space="0" w:color="000000"/>
              <w:end w:val="single" w:sz="4" w:space="0" w:color="000000"/>
            </w:tcBorders>
          </w:tcPr>
          <w:p>
            <w:pPr>
              <w:pStyle w:val="TOC1"/>
              <w:tabs>
                <w:tab w:val="clear" w:pos="720"/>
                <w:tab w:val="left" w:pos="8550" w:leader="none"/>
              </w:tabs>
              <w:jc w:val="both"/>
              <w:rPr/>
            </w:pPr>
            <w:r>
              <w:rPr/>
              <w:t>20 markets @ $1,500 ea.</w:t>
            </w:r>
          </w:p>
        </w:tc>
        <w:tc>
          <w:tcPr>
            <w:tcW w:w="1116" w:type="dxa"/>
            <w:tcBorders>
              <w:top w:val="single" w:sz="4" w:space="0" w:color="000000"/>
              <w:start w:val="single" w:sz="4" w:space="0" w:color="000000"/>
              <w:bottom w:val="single" w:sz="4" w:space="0" w:color="000000"/>
              <w:end w:val="single" w:sz="4" w:space="0" w:color="000000"/>
            </w:tcBorders>
          </w:tcPr>
          <w:p>
            <w:pPr>
              <w:pStyle w:val="TOC1"/>
              <w:tabs>
                <w:tab w:val="clear" w:pos="720"/>
                <w:tab w:val="left" w:pos="8550" w:leader="none"/>
              </w:tabs>
              <w:jc w:val="both"/>
              <w:rPr/>
            </w:pPr>
            <w:r>
              <w:rPr/>
              <w:t>$30,000</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sz w:val="24"/>
              </w:rPr>
            </w:pPr>
            <w:r>
              <w:rPr>
                <w:sz w:val="24"/>
              </w:rPr>
              <w:t>Op Eds and Letters to Editor</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sz w:val="24"/>
              </w:rPr>
            </w:pPr>
            <w:r>
              <w:rPr>
                <w:sz w:val="24"/>
              </w:rPr>
              <w:t>25 @ $1,000 each</w:t>
            </w:r>
          </w:p>
        </w:tc>
        <w:tc>
          <w:tcPr>
            <w:tcW w:w="11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sz w:val="24"/>
              </w:rPr>
            </w:pPr>
            <w:r>
              <w:rPr>
                <w:sz w:val="24"/>
              </w:rPr>
              <w:t>$25,000</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sz w:val="24"/>
              </w:rPr>
            </w:pPr>
            <w:r>
              <w:rPr>
                <w:sz w:val="24"/>
              </w:rPr>
              <w:t>Grasstops letters to 17 Members of Commerce Committees</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sz w:val="24"/>
              </w:rPr>
            </w:pPr>
            <w:r>
              <w:rPr>
                <w:sz w:val="24"/>
              </w:rPr>
              <w:t>20 letters/contacts @ $500 each x 17 officials</w:t>
            </w:r>
          </w:p>
        </w:tc>
        <w:tc>
          <w:tcPr>
            <w:tcW w:w="11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sz w:val="24"/>
              </w:rPr>
            </w:pPr>
            <w:r>
              <w:rPr>
                <w:sz w:val="24"/>
              </w:rPr>
              <w:t>$170,000</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sz w:val="24"/>
              </w:rPr>
            </w:pPr>
            <w:r>
              <w:rPr>
                <w:sz w:val="24"/>
              </w:rPr>
              <w:t>Direct Mail</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rPr>
                <w:sz w:val="24"/>
              </w:rPr>
            </w:pPr>
            <w:r>
              <w:rPr>
                <w:sz w:val="24"/>
              </w:rPr>
              <w:t>10 Districts/states x 10,000 hh @ .52 ea</w:t>
            </w:r>
          </w:p>
        </w:tc>
        <w:tc>
          <w:tcPr>
            <w:tcW w:w="11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sz w:val="24"/>
              </w:rPr>
            </w:pPr>
            <w:r>
              <w:rPr>
                <w:sz w:val="24"/>
              </w:rPr>
              <w:t>$52,000</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b/>
                <w:bCs/>
                <w:sz w:val="24"/>
              </w:rPr>
            </w:pPr>
            <w:r>
              <w:rPr>
                <w:b/>
                <w:bCs/>
                <w:sz w:val="24"/>
              </w:rPr>
              <w:t xml:space="preserve">Total Fee </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snapToGrid w:val="false"/>
              <w:jc w:val="both"/>
              <w:rPr>
                <w:b/>
                <w:bCs/>
                <w:sz w:val="24"/>
              </w:rPr>
            </w:pPr>
            <w:r>
              <w:rPr>
                <w:b/>
                <w:bCs/>
                <w:sz w:val="24"/>
              </w:rPr>
            </w:r>
          </w:p>
        </w:tc>
        <w:tc>
          <w:tcPr>
            <w:tcW w:w="11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550" w:leader="none"/>
              </w:tabs>
              <w:jc w:val="both"/>
              <w:rPr>
                <w:b/>
                <w:bCs/>
                <w:sz w:val="24"/>
              </w:rPr>
            </w:pPr>
            <w:r>
              <w:rPr>
                <w:b/>
                <w:bCs/>
                <w:sz w:val="24"/>
              </w:rPr>
              <w:t>$386,500</w:t>
            </w:r>
          </w:p>
        </w:tc>
      </w:tr>
    </w:tbl>
    <w:p>
      <w:pPr>
        <w:pStyle w:val="Footer"/>
        <w:tabs>
          <w:tab w:val="clear" w:pos="4320"/>
          <w:tab w:val="clear" w:pos="8640"/>
          <w:tab w:val="left" w:pos="5670" w:leader="none"/>
          <w:tab w:val="left" w:pos="8550" w:leader="none"/>
        </w:tabs>
        <w:jc w:val="both"/>
        <w:rPr>
          <w:sz w:val="24"/>
        </w:rPr>
      </w:pPr>
      <w:r>
        <w:rPr>
          <w:sz w:val="24"/>
        </w:rPr>
      </w:r>
    </w:p>
    <w:p>
      <w:pPr>
        <w:pStyle w:val="Footer"/>
        <w:tabs>
          <w:tab w:val="clear" w:pos="4320"/>
          <w:tab w:val="clear" w:pos="8640"/>
          <w:tab w:val="left" w:pos="5670" w:leader="none"/>
          <w:tab w:val="left" w:pos="8550" w:leader="none"/>
        </w:tabs>
        <w:jc w:val="both"/>
        <w:rPr>
          <w:sz w:val="24"/>
        </w:rPr>
      </w:pPr>
      <w:r>
        <w:rPr>
          <w:sz w:val="24"/>
        </w:rPr>
      </w:r>
    </w:p>
    <w:p>
      <w:pPr>
        <w:pStyle w:val="Footer"/>
        <w:tabs>
          <w:tab w:val="clear" w:pos="4320"/>
          <w:tab w:val="clear" w:pos="8640"/>
          <w:tab w:val="left" w:pos="5670" w:leader="none"/>
          <w:tab w:val="left" w:pos="8550" w:leader="none"/>
        </w:tabs>
        <w:jc w:val="both"/>
        <w:rPr>
          <w:sz w:val="24"/>
        </w:rPr>
      </w:pPr>
      <w:r>
        <w:rPr>
          <w:sz w:val="24"/>
        </w:rPr>
      </w:r>
    </w:p>
    <w:p>
      <w:pPr>
        <w:pStyle w:val="Footer"/>
        <w:tabs>
          <w:tab w:val="clear" w:pos="4320"/>
          <w:tab w:val="clear" w:pos="8640"/>
          <w:tab w:val="left" w:pos="5670" w:leader="none"/>
          <w:tab w:val="left" w:pos="8550" w:leader="none"/>
        </w:tabs>
        <w:jc w:val="both"/>
        <w:rPr>
          <w:sz w:val="24"/>
        </w:rPr>
      </w:pPr>
      <w:r>
        <w:rPr>
          <w:sz w:val="24"/>
        </w:rPr>
        <w:t xml:space="preserve">We look forward to working with Enron in the months ahead.  After reviewing these plans, please give me a call and let’s discuss what works best for you at this time.  </w:t>
      </w:r>
    </w:p>
    <w:p>
      <w:pPr>
        <w:pStyle w:val="Footer"/>
        <w:tabs>
          <w:tab w:val="clear" w:pos="4320"/>
          <w:tab w:val="clear" w:pos="8640"/>
          <w:tab w:val="left" w:pos="5670" w:leader="none"/>
          <w:tab w:val="left" w:pos="8550" w:leader="none"/>
        </w:tabs>
        <w:jc w:val="both"/>
        <w:rPr>
          <w:sz w:val="24"/>
        </w:rPr>
      </w:pPr>
      <w:r>
        <w:rPr>
          <w:sz w:val="24"/>
        </w:rPr>
      </w:r>
    </w:p>
    <w:p>
      <w:pPr>
        <w:pStyle w:val="Footer"/>
        <w:tabs>
          <w:tab w:val="clear" w:pos="4320"/>
          <w:tab w:val="clear" w:pos="8640"/>
          <w:tab w:val="left" w:pos="5670" w:leader="none"/>
          <w:tab w:val="left" w:pos="8550" w:leader="none"/>
        </w:tabs>
        <w:jc w:val="both"/>
        <w:rPr>
          <w:sz w:val="24"/>
        </w:rPr>
      </w:pPr>
      <w:r>
        <w:rPr>
          <w:sz w:val="24"/>
        </w:rPr>
      </w:r>
    </w:p>
    <w:sectPr>
      <w:footerReference w:type="default" r:id="rId2"/>
      <w:type w:val="nextPage"/>
      <w:pgSz w:w="12240" w:h="15840"/>
      <w:pgMar w:left="1800" w:right="180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decimal"/>
      <w:lvlText w:val="%3."/>
      <w:lvlJc w:val="start"/>
      <w:pPr>
        <w:tabs>
          <w:tab w:val="num" w:pos="2160"/>
        </w:tabs>
        <w:ind w:start="2160" w:hanging="36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rPr>
  </w:style>
  <w:style w:type="paragraph" w:styleId="Heading5">
    <w:name w:val="heading 5"/>
    <w:basedOn w:val="Normal"/>
    <w:next w:val="Normal"/>
    <w:qFormat/>
    <w:pPr>
      <w:keepNext w:val="true"/>
      <w:numPr>
        <w:ilvl w:val="4"/>
        <w:numId w:val="1"/>
      </w:numPr>
      <w:outlineLvl w:val="4"/>
    </w:pPr>
    <w:rPr>
      <w:rFonts w:ascii="Arial" w:hAnsi="Arial" w:cs="Arial"/>
      <w:b/>
    </w:rPr>
  </w:style>
  <w:style w:type="paragraph" w:styleId="Heading6">
    <w:name w:val="heading 6"/>
    <w:basedOn w:val="Normal"/>
    <w:next w:val="Normal"/>
    <w:qFormat/>
    <w:pPr>
      <w:keepNext w:val="true"/>
      <w:numPr>
        <w:ilvl w:val="5"/>
        <w:numId w:val="1"/>
      </w:numPr>
      <w:outlineLvl w:val="5"/>
    </w:pPr>
    <w:rPr>
      <w:b/>
      <w:sz w:val="28"/>
    </w:rPr>
  </w:style>
  <w:style w:type="paragraph" w:styleId="Heading7">
    <w:name w:val="heading 7"/>
    <w:basedOn w:val="Normal"/>
    <w:next w:val="Normal"/>
    <w:qFormat/>
    <w:pPr>
      <w:keepNext w:val="true"/>
      <w:numPr>
        <w:ilvl w:val="6"/>
        <w:numId w:val="1"/>
      </w:numPr>
      <w:jc w:val="end"/>
      <w:outlineLvl w:val="6"/>
    </w:pPr>
    <w:rPr>
      <w:rFonts w:ascii="Arial" w:hAnsi="Arial" w:cs="Arial"/>
      <w:b/>
      <w:u w:val="single"/>
    </w:rPr>
  </w:style>
  <w:style w:type="paragraph" w:styleId="Heading8">
    <w:name w:val="heading 8"/>
    <w:basedOn w:val="Normal"/>
    <w:next w:val="Normal"/>
    <w:qFormat/>
    <w:pPr>
      <w:keepNext w:val="true"/>
      <w:numPr>
        <w:ilvl w:val="7"/>
        <w:numId w:val="1"/>
      </w:numPr>
      <w:jc w:val="center"/>
      <w:outlineLvl w:val="7"/>
    </w:pPr>
    <w:rPr>
      <w:b/>
      <w:bCs/>
      <w:u w:val="single"/>
    </w:rPr>
  </w:style>
  <w:style w:type="paragraph" w:styleId="Heading9">
    <w:name w:val="heading 9"/>
    <w:basedOn w:val="Normal"/>
    <w:next w:val="Normal"/>
    <w:qFormat/>
    <w:pPr>
      <w:keepNext w:val="true"/>
      <w:numPr>
        <w:ilvl w:val="8"/>
        <w:numId w:val="1"/>
      </w:numPr>
      <w:outlineLvl w:val="8"/>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1">
    <w:name w:val="WW8Num10z1"/>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z w:val="24"/>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Subtitle">
    <w:name w:val="Subtitle"/>
    <w:basedOn w:val="Heading"/>
    <w:next w:val="BodyText"/>
    <w:qFormat/>
    <w:pPr>
      <w:keepNext w:val="true"/>
      <w:keepLines/>
      <w:spacing w:before="240" w:after="420"/>
    </w:pPr>
    <w:rPr>
      <w:rFonts w:ascii="Garamond" w:hAnsi="Garamond" w:cs="Garamond"/>
      <w:b w:val="false"/>
      <w:smallCaps/>
      <w:spacing w:val="20"/>
      <w:kern w:val="2"/>
      <w:sz w:val="27"/>
    </w:rPr>
  </w:style>
  <w:style w:type="paragraph" w:styleId="TitleCover">
    <w:name w:val="Title Cover"/>
    <w:basedOn w:val="Normal"/>
    <w:next w:val="SubtitleCover"/>
    <w:qFormat/>
    <w:pPr>
      <w:keepNext w:val="true"/>
      <w:keepLines/>
      <w:spacing w:lineRule="atLeast" w:line="720" w:before="0" w:after="240"/>
      <w:jc w:val="center"/>
    </w:pPr>
    <w:rPr>
      <w:rFonts w:ascii="Garamond" w:hAnsi="Garamond" w:cs="Garamond"/>
      <w:caps/>
      <w:spacing w:val="65"/>
      <w:kern w:val="2"/>
      <w:sz w:val="64"/>
    </w:rPr>
  </w:style>
  <w:style w:type="paragraph" w:styleId="SubtitleCover">
    <w:name w:val="Subtitle Cover"/>
    <w:basedOn w:val="TitleCover"/>
    <w:next w:val="BodyText"/>
    <w:qFormat/>
    <w:pPr>
      <w:pBdr>
        <w:top w:val="single" w:sz="6" w:space="12" w:color="808080"/>
      </w:pBdr>
      <w:spacing w:lineRule="atLeast" w:line="440" w:before="0" w:after="0"/>
    </w:pPr>
    <w:rPr>
      <w:caps w:val="false"/>
      <w:smallCaps w:val="false"/>
      <w:spacing w:val="30"/>
      <w:sz w:val="4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center"/>
    </w:pPr>
    <w:rPr>
      <w:rFonts w:ascii="Arial" w:hAnsi="Arial" w:cs="Arial"/>
    </w:rPr>
  </w:style>
  <w:style w:type="paragraph" w:styleId="BodyTextIndent">
    <w:name w:val="Body Text Indent"/>
    <w:basedOn w:val="Normal"/>
    <w:pPr>
      <w:ind w:hanging="0" w:start="360" w:end="0"/>
    </w:pPr>
    <w:rPr>
      <w:sz w:val="24"/>
    </w:rPr>
  </w:style>
  <w:style w:type="paragraph" w:styleId="BodyText3">
    <w:name w:val="Body Text 3"/>
    <w:basedOn w:val="Normal"/>
    <w:qFormat/>
    <w:pPr>
      <w:tabs>
        <w:tab w:val="clear" w:pos="720"/>
        <w:tab w:val="left" w:pos="8550" w:leader="none"/>
      </w:tabs>
      <w:autoSpaceDE w:val="false"/>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2000-10-17T17:10:00Z</dcterms:created>
  <dc:creator>roger</dc:creator>
  <dc:description/>
  <dc:language>en-CA</dc:language>
  <cp:lastModifiedBy>Ralph E. Reed, Jr.</cp:lastModifiedBy>
  <cp:lastPrinted>2000-10-24T16:04:00Z</cp:lastPrinted>
  <dcterms:modified xsi:type="dcterms:W3CDTF">2000-10-24T17:43:00Z</dcterms:modified>
  <cp:revision>14</cp:revision>
  <dc:subject/>
  <dc:title>Memo</dc:title>
</cp:coreProperties>
</file>