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720"/>
        <w:jc w:val="center"/>
        <w:rPr>
          <w:b/>
          <w:sz w:val="22"/>
        </w:rPr>
      </w:pPr>
      <w:r>
        <w:rPr>
          <w:b/>
          <w:sz w:val="22"/>
          <w:u w:val="single"/>
        </w:rPr>
        <w:t>CONFIDENTIALITY AGREEMENT</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b/>
          <w:sz w:val="22"/>
        </w:rPr>
        <w:tab/>
        <w:t xml:space="preserve">THIS CONFIDENTIALITY AGREEMENT </w:t>
      </w:r>
      <w:r>
        <w:rPr>
          <w:sz w:val="22"/>
        </w:rPr>
        <w:t>(this "Agreement"), entered into and made effective as of the 28</w:t>
      </w:r>
      <w:r>
        <w:rPr>
          <w:color w:val="000000"/>
          <w:sz w:val="22"/>
        </w:rPr>
        <w:t xml:space="preserve"> day of July, 2000, is by and between Altra Energy Technologies, Inc. (“Altra”) and </w:t>
      </w:r>
      <w:r>
        <w:rPr>
          <w:sz w:val="22"/>
        </w:rPr>
        <w:t xml:space="preserve">Enron, Inc. </w:t>
      </w:r>
      <w:r>
        <w:rPr>
          <w:color w:val="000000"/>
          <w:sz w:val="22"/>
        </w:rPr>
        <w:t xml:space="preserve"> (“Company").</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center"/>
        <w:rPr>
          <w:b/>
          <w:sz w:val="22"/>
        </w:rPr>
      </w:pPr>
      <w:r>
        <w:rPr>
          <w:b/>
          <w:sz w:val="22"/>
        </w:rPr>
        <w:t>W I T N E S S E T H:</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b/>
          <w:sz w:val="22"/>
        </w:rPr>
        <w:tab/>
        <w:t xml:space="preserve">WHEREAS, </w:t>
      </w:r>
      <w:r>
        <w:rPr>
          <w:sz w:val="22"/>
        </w:rPr>
        <w:t xml:space="preserve">the parties hereto intend to enter into confidential discussions and negotiations with regard to a strategic transaction involving Company and Altra (the "Proposed Transaction"); </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b/>
          <w:sz w:val="22"/>
        </w:rPr>
        <w:tab/>
        <w:t xml:space="preserve">WHEREAS, </w:t>
      </w:r>
      <w:r>
        <w:rPr>
          <w:sz w:val="22"/>
        </w:rPr>
        <w:t xml:space="preserve">it will be necessary for the parties or their Affiliates (as defined in paragraph 9) to release certain confidential information to each other for the sole purpose of enabling the parties to evaluate their interest in entering into the Proposed Transaction; and </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b/>
          <w:sz w:val="22"/>
        </w:rPr>
        <w:tab/>
        <w:t xml:space="preserve">WHEREAS, </w:t>
      </w:r>
      <w:r>
        <w:rPr>
          <w:sz w:val="22"/>
        </w:rPr>
        <w:t>the parties have entered into this Agreement in order to assure the confidentiality of all such information and to prevent the disclosure of same to third parties except as permitted herein;</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b/>
          <w:sz w:val="22"/>
        </w:rPr>
        <w:tab/>
        <w:t xml:space="preserve">NOW, THEREFORE, </w:t>
      </w:r>
      <w:r>
        <w:rPr>
          <w:sz w:val="22"/>
        </w:rPr>
        <w:t>in consideration of the mutual promises and covenants made herein, and with the intent to be legally bound hereby, Altra and Company agree as follows:</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1.</w:t>
        <w:tab/>
      </w:r>
      <w:r>
        <w:rPr>
          <w:sz w:val="22"/>
          <w:u w:val="single"/>
        </w:rPr>
        <w:t>Confidential Information</w:t>
      </w:r>
      <w:r>
        <w:rPr>
          <w:sz w:val="22"/>
        </w:rPr>
        <w:t>.  The term "Confidential Information" as used in this Agreement shall mean any and all written materials provided by either party or their Affiliates to the other or ascertained through due diligence investigation or discussions between employees or representatives of the parties or their Affiliates; such Confidential Information shall include but not be limited to, all marketing, technical, engineering, operational, economic or financial knowledge, information or data of any nature whatsoever relating to the future, present or past business, operations, plans or assets of either Altra or Company, including any Affiliates of either party, which is disclosed (either directly or through their agents) by Altra or Company or their Affiliates (the “Disclosing Party”) to the other (the “Receiving Party”) in connection with the Proposed Transaction; provided, however, that Confidential Information shall not include the following:</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ind w:hanging="720" w:start="1440" w:end="0"/>
        <w:jc w:val="both"/>
        <w:rPr>
          <w:sz w:val="22"/>
        </w:rPr>
      </w:pPr>
      <w:r>
        <w:rPr>
          <w:sz w:val="22"/>
        </w:rPr>
        <w:t>(a)</w:t>
        <w:tab/>
        <w:t>information which is or becomes part of the public domain through no act or omission of the Receiving Party;</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ind w:hanging="720" w:start="1440" w:end="0"/>
        <w:jc w:val="both"/>
        <w:rPr>
          <w:sz w:val="22"/>
        </w:rPr>
      </w:pPr>
      <w:r>
        <w:rPr>
          <w:sz w:val="22"/>
        </w:rPr>
        <w:t>(b)</w:t>
        <w:tab/>
        <w:t>information which the Receiving Party can demonstrate was in its possession prior to disclosure by the Disclosing Party;</w:t>
      </w:r>
    </w:p>
    <w:p>
      <w:pPr>
        <w:pStyle w:val="BodyTextIndent"/>
        <w:rPr/>
      </w:pPr>
      <w:r>
        <w:rPr/>
        <w:t>(c)</w:t>
        <w:tab/>
        <w:t>information received by the Receiving Party from a third party who, to the best of the Receiving Party's knowledge, did not acquire such information on a confidential basis either directly or indirectly from the Disclosing Party.</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2.</w:t>
        <w:tab/>
      </w:r>
      <w:r>
        <w:rPr>
          <w:sz w:val="22"/>
          <w:u w:val="single"/>
        </w:rPr>
        <w:t>Disclosure and Use of Confidential Information</w:t>
      </w:r>
      <w:r>
        <w:rPr>
          <w:sz w:val="22"/>
        </w:rPr>
        <w:t>.  The parties agree to keep confidential all Confidential Information, and shall not, without the other party's prior written consent, disclose to any third party, firm, corporation or entity such Confidential Information, the existence of this Agreement and that the Confidential Information has been made available to either party, or that discussions or negotiations are taking place concerning the Proposed Transaction.  The parties shall limit the disclosure of the Confidential Information to only those officers, employees, directors and agents (including attorneys, accountants, investment bankers and similar consultants) of the party or its Affiliate reasonably necessary to evaluate the Proposed Transaction.  To the extent that any such persons are not employees of the party or its Affiliate, the party shall be responsible for such persons' compliance with the terms of this Agreement.  Each party shall use the Confidential Information only for the purpose of its internal evaluation of the Proposed Transaction.  Neither party shall make any other use, in whole or in part, of any such Confidential Information without the prior written consent of the other.</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3.</w:t>
        <w:tab/>
      </w:r>
      <w:r>
        <w:rPr>
          <w:sz w:val="22"/>
          <w:u w:val="single"/>
        </w:rPr>
        <w:t>Required Disclosure</w:t>
      </w:r>
      <w:r>
        <w:rPr>
          <w:sz w:val="22"/>
        </w:rPr>
        <w:t>.  In the event that either Altra, Company or any of their Affiliates (as the case may be) are requested or required by oral questions, interrogatories, requests for information or documents, subpoena, civil investigation, demand or similar process (1) to disclose any Confidential Information of the other or (2) to disclose the possibility of any Proposed Transaction or the discussions pertaining thereto, it is agreed that it will provide prompt notice of such potential disclosure so that an appropriate protective order may be sought and/or a waiver of compliance with the provisions of this Agreement may be granted.  If, in the absence of a protective order or the receipt of a waiver hereunder, Altra, Company and/or any of their Affiliates (as the case may be) are nonetheless, in the written opinion of their respective counsel, legally required to disclose Confidential Information of the other, then in such event Altra, Company or the Affiliate (as the case may be) may disclose only such information as is so required without liability hereunder, provided that the other party has been given a reasonable opportunity to review the text of such disclosure before it is made.</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4.</w:t>
        <w:tab/>
      </w:r>
      <w:r>
        <w:rPr>
          <w:sz w:val="22"/>
          <w:u w:val="single"/>
        </w:rPr>
        <w:t>Return of Documents</w:t>
      </w:r>
      <w:r>
        <w:rPr>
          <w:sz w:val="22"/>
        </w:rPr>
        <w:t>.  Upon written request at any time from the Disclosing Party, Altra and Company agree to destroy or return any and all Confidential Information, including all originals, copies, translations, notes, or any other form of said material.  Notwithstanding such destruction or return, the obligations under this Agreement shall remain in full force and effect.</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5.</w:t>
        <w:tab/>
      </w:r>
      <w:r>
        <w:rPr>
          <w:sz w:val="22"/>
          <w:u w:val="single"/>
        </w:rPr>
        <w:t>Survival of Obligations</w:t>
      </w:r>
      <w:r>
        <w:rPr>
          <w:sz w:val="22"/>
        </w:rPr>
        <w:t>.  The obligations and commitments established by this Agreement shall remain in full force and effect for three (3) years, beginning on the date hereof, or until such time as the parties have entered into an agreement providing otherwise.</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6.</w:t>
        <w:tab/>
      </w:r>
      <w:r>
        <w:rPr>
          <w:sz w:val="22"/>
          <w:u w:val="single"/>
        </w:rPr>
        <w:t>Nature of Information</w:t>
      </w:r>
      <w:r>
        <w:rPr>
          <w:sz w:val="22"/>
        </w:rPr>
        <w:t>.  Altra and Company each hereby accept the representations of the other party that the other party's Confidential Information is of a special, unique, unusual, extraordinary, and intellectual character.  Altra and Company also acknowledge that  the other party's interests in such Confidential Information may be irreparably injured by disclosure of such Confidential Information.  Therefore any Disclosing Party shall be entitled to injunctive relief for any breach  or threatened breach hereof.</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7.</w:t>
        <w:tab/>
      </w:r>
      <w:r>
        <w:rPr>
          <w:sz w:val="22"/>
          <w:u w:val="single"/>
        </w:rPr>
        <w:t>Non Solicitation</w:t>
      </w:r>
      <w:r>
        <w:rPr>
          <w:sz w:val="22"/>
        </w:rPr>
        <w:t>.  In consideration of the Confidential Information being furnished hereunder, Company, on behalf of itself and its Affiliates, agrees that for a period beginning on the date hereof and continuing for a period of two (2) years, it will not, without the prior written consent of Altra, solicit to employ or employ or hire, directly or indirectly, or otherwise utilize the services of any person (i) employed or contracted by Altra; or (ii) employed or contracted by Altra’s Affiliates who have been involved with, or with whom Company or its Affiliates have had contact with in connection with, the Proposed Transaction.</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8.</w:t>
        <w:tab/>
      </w:r>
      <w:r>
        <w:rPr>
          <w:sz w:val="22"/>
          <w:u w:val="single"/>
        </w:rPr>
        <w:t>Governing Law</w:t>
      </w:r>
      <w:r>
        <w:rPr>
          <w:sz w:val="22"/>
        </w:rPr>
        <w:t>.  The validity and interpretation of this Agreement and the legal relations of the parties to it shall be governed by the laws of the State of Texas.  In the event that a court of competent jurisdiction determines that any portion of this Agreement is unreasonable because of its term or scope, or for any other reason, Altra and Company agree that such court may reform such provision so that it is reasonable under the circumstances and that such provision, as reformed, shall be enforceable.</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9.</w:t>
        <w:tab/>
      </w:r>
      <w:r>
        <w:rPr>
          <w:sz w:val="22"/>
          <w:u w:val="single"/>
        </w:rPr>
        <w:t>Affiliate</w:t>
      </w:r>
      <w:r>
        <w:rPr>
          <w:sz w:val="22"/>
        </w:rPr>
        <w:t xml:space="preserve">.  The term "Affiliate" shall mean any corporation, partnership, or other entity or association that directly, or indirectly through one or more intermediaries, controls, or is controlled by, or is under common control with Altra or Company (as the case may be).  </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10.</w:t>
        <w:tab/>
      </w:r>
      <w:r>
        <w:rPr>
          <w:sz w:val="22"/>
          <w:u w:val="single"/>
        </w:rPr>
        <w:t>No Other Agreement</w:t>
      </w:r>
      <w:r>
        <w:rPr>
          <w:sz w:val="22"/>
        </w:rPr>
        <w:t>.  Unless and until a written definitive agreement with respect to the Proposed Transaction is executed by the parties, neither the execution of this Agreement,  nor the negotiations between the parties or the exchange of drafts or documents relating to the Proposed Transaction shall be construed as any form of a letter of intent or agreement to enter into the Proposed Transaction.  Altra reserves the right to terminate discussions and negotiations with the Company at any time.</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t>11.</w:t>
        <w:tab/>
      </w:r>
      <w:r>
        <w:rPr>
          <w:sz w:val="22"/>
          <w:u w:val="single"/>
        </w:rPr>
        <w:t>No Representations or Warranties</w:t>
      </w:r>
      <w:r>
        <w:rPr>
          <w:sz w:val="22"/>
        </w:rPr>
        <w:t>.  With respect to any information, including but not limited to Confidential Information, which either party furnishes or otherwise discloses to the other party for the purpose of evaluating any Proposed Transaction, it is understood and agreed that the party disclosing such information does not make any representations or warranties express or implied as to the accuracy, completeness or fitness for a particular purpose thereof.  It is  further understood and agreed that neither party nor their representatives (including, without limitation, CIBC World Markets) or Affiliates shall have any liability or responsibility to the other party or to any other person or entity resulting from the use of any information so furnished or otherwise provided.</w:t>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jc w:val="both"/>
        <w:rPr/>
      </w:pPr>
      <w:r>
        <w:rPr>
          <w:sz w:val="22"/>
        </w:rPr>
        <w:tab/>
      </w:r>
      <w:r>
        <w:rPr>
          <w:b/>
          <w:sz w:val="22"/>
        </w:rPr>
        <w:tab/>
        <w:t>IN WITNESS WHEREOF,</w:t>
      </w:r>
      <w:r>
        <w:rPr>
          <w:sz w:val="22"/>
        </w:rPr>
        <w:t xml:space="preserve"> the parties hereto have entered into this Agreement on the day and year first herein above written.</w:t>
      </w:r>
    </w:p>
    <w:p>
      <w:pPr>
        <w:pStyle w:val="Normal"/>
        <w:rPr>
          <w:sz w:val="22"/>
        </w:rPr>
      </w:pPr>
      <w:r>
        <w:rPr>
          <w:sz w:val="22"/>
        </w:rPr>
      </w:r>
    </w:p>
    <w:p>
      <w:pPr>
        <w:pStyle w:val="Normal"/>
        <w:rPr>
          <w:sz w:val="22"/>
        </w:rPr>
      </w:pPr>
      <w:r>
        <w:rPr>
          <w:sz w:val="22"/>
        </w:rPr>
        <w:t>CIBC WORLD MARKETS CORP.</w:t>
      </w:r>
    </w:p>
    <w:p>
      <w:pPr>
        <w:pStyle w:val="Normal"/>
        <w:rPr>
          <w:sz w:val="22"/>
        </w:rPr>
      </w:pPr>
      <w:r>
        <w:rPr>
          <w:sz w:val="22"/>
        </w:rPr>
      </w:r>
    </w:p>
    <w:p>
      <w:pPr>
        <w:pStyle w:val="Normal"/>
        <w:rPr>
          <w:sz w:val="22"/>
        </w:rPr>
      </w:pPr>
      <w:r>
        <w:rPr>
          <w:sz w:val="22"/>
        </w:rPr>
        <w:t>On behalf of</w:t>
      </w:r>
    </w:p>
    <w:p>
      <w:pPr>
        <w:pStyle w:val="Normal"/>
        <w:rPr>
          <w:sz w:val="22"/>
        </w:rPr>
      </w:pPr>
      <w:r>
        <w:rPr>
          <w:sz w:val="22"/>
        </w:rPr>
        <w:t>Altra Energy Technologies, Inc.</w:t>
      </w:r>
    </w:p>
    <w:p>
      <w:pPr>
        <w:pStyle w:val="Normal"/>
        <w:rPr>
          <w:sz w:val="22"/>
        </w:rPr>
      </w:pPr>
      <w:r>
        <w:rPr>
          <w:sz w:val="22"/>
        </w:rPr>
      </w:r>
    </w:p>
    <w:p>
      <w:pPr>
        <w:pStyle w:val="Normal"/>
        <w:rPr>
          <w:sz w:val="22"/>
        </w:rPr>
      </w:pPr>
      <w:r>
        <w:rPr>
          <w:sz w:val="22"/>
        </w:rPr>
      </w:r>
    </w:p>
    <w:p>
      <w:pPr>
        <w:pStyle w:val="TOAHeading"/>
        <w:widowControl/>
        <w:tabs>
          <w:tab w:val="clear" w:pos="9000"/>
          <w:tab w:val="clear" w:pos="9360"/>
        </w:tabs>
        <w:suppressAutoHyphens w:val="false"/>
        <w:rPr>
          <w:rFonts w:ascii="Times New Roman" w:hAnsi="Times New Roman" w:cs="Times New Roman"/>
        </w:rPr>
      </w:pPr>
      <w:r>
        <w:rPr>
          <w:rFonts w:cs="Times New Roman" w:ascii="Times New Roman" w:hAnsi="Times New Roman"/>
        </w:rPr>
        <w:t>By:</w:t>
        <w:tab/>
        <w:t>______________________________________________________</w:t>
      </w:r>
    </w:p>
    <w:p>
      <w:pPr>
        <w:pStyle w:val="Normal"/>
        <w:rPr>
          <w:sz w:val="22"/>
        </w:rPr>
      </w:pPr>
      <w:r>
        <w:rPr>
          <w:sz w:val="22"/>
        </w:rPr>
        <w:tab/>
        <w:t>James Holzer</w:t>
      </w:r>
    </w:p>
    <w:p>
      <w:pPr>
        <w:pStyle w:val="Normal"/>
        <w:rPr>
          <w:sz w:val="22"/>
        </w:rPr>
      </w:pPr>
      <w:r>
        <w:rPr>
          <w:sz w:val="22"/>
        </w:rPr>
        <w:tab/>
        <w:t>Executive Director</w:t>
      </w:r>
    </w:p>
    <w:p>
      <w:pPr>
        <w:pStyle w:val="Normal"/>
        <w:rPr>
          <w:sz w:val="22"/>
        </w:rPr>
      </w:pPr>
      <w:r>
        <w:rPr>
          <w:sz w:val="22"/>
        </w:rPr>
      </w:r>
    </w:p>
    <w:p>
      <w:pPr>
        <w:pStyle w:val="Normal"/>
        <w:rPr>
          <w:sz w:val="22"/>
        </w:rPr>
      </w:pPr>
      <w:r>
        <w:rPr>
          <w:sz w:val="22"/>
        </w:rPr>
      </w:r>
    </w:p>
    <w:p>
      <w:pPr>
        <w:pStyle w:val="TOAHeading"/>
        <w:widowControl/>
        <w:tabs>
          <w:tab w:val="clear" w:pos="9000"/>
          <w:tab w:val="clear" w:pos="9360"/>
        </w:tabs>
        <w:suppressAutoHyphens w:val="false"/>
        <w:rPr>
          <w:rFonts w:ascii="Times New Roman" w:hAnsi="Times New Roman" w:cs="Times New Roman"/>
        </w:rPr>
      </w:pPr>
      <w:r>
        <w:rPr>
          <w:rFonts w:cs="Times New Roman" w:ascii="Times New Roman" w:hAnsi="Times New Roman"/>
        </w:rPr>
        <w:t xml:space="preserve">Accepted and agreed as of the </w:t>
      </w:r>
    </w:p>
    <w:p>
      <w:pPr>
        <w:pStyle w:val="Normal"/>
        <w:rPr>
          <w:sz w:val="22"/>
        </w:rPr>
      </w:pPr>
      <w:r>
        <w:rPr>
          <w:sz w:val="22"/>
        </w:rPr>
        <w:t>date first written above:</w:t>
      </w:r>
    </w:p>
    <w:p>
      <w:pPr>
        <w:pStyle w:val="Normal"/>
        <w:rPr>
          <w:sz w:val="22"/>
        </w:rPr>
      </w:pPr>
      <w:r>
        <w:rPr>
          <w:sz w:val="22"/>
        </w:rPr>
      </w:r>
    </w:p>
    <w:p>
      <w:pPr>
        <w:pStyle w:val="TOAHeading"/>
        <w:widowControl/>
        <w:tabs>
          <w:tab w:val="clear" w:pos="9000"/>
          <w:tab w:val="clear" w:pos="9360"/>
        </w:tabs>
        <w:suppressAutoHyphens w:val="false"/>
        <w:rPr/>
      </w:pPr>
      <w:r>
        <w:rPr/>
        <w:t>ENRON, INC.</w:t>
      </w:r>
    </w:p>
    <w:p>
      <w:pPr>
        <w:pStyle w:val="Normal"/>
        <w:rPr/>
      </w:pPr>
      <w:r>
        <w:rPr/>
      </w:r>
    </w:p>
    <w:p>
      <w:pPr>
        <w:pStyle w:val="TOAHeading"/>
        <w:widowControl/>
        <w:tabs>
          <w:tab w:val="clear" w:pos="9000"/>
          <w:tab w:val="clear" w:pos="9360"/>
        </w:tabs>
        <w:suppressAutoHyphens w:val="false"/>
        <w:rPr>
          <w:rFonts w:ascii="Times New Roman" w:hAnsi="Times New Roman" w:cs="Times New Roman"/>
        </w:rPr>
      </w:pPr>
      <w:r>
        <w:rPr>
          <w:rFonts w:cs="Times New Roman" w:ascii="Times New Roman" w:hAnsi="Times New Roman"/>
        </w:rPr>
        <w:t>By:</w:t>
        <w:tab/>
        <w:t>______________________________________________________</w:t>
      </w:r>
    </w:p>
    <w:p>
      <w:pPr>
        <w:pStyle w:val="Normal"/>
        <w:rPr>
          <w:sz w:val="22"/>
        </w:rPr>
      </w:pPr>
      <w:r>
        <w:rPr>
          <w:sz w:val="22"/>
        </w:rPr>
        <w:tab/>
      </w:r>
    </w:p>
    <w:p>
      <w:pPr>
        <w:pStyle w:val="Normal"/>
        <w:rPr>
          <w:sz w:val="22"/>
        </w:rPr>
      </w:pPr>
      <w:r>
        <w:rPr>
          <w:sz w:val="22"/>
        </w:rPr>
        <w:tab/>
      </w:r>
    </w:p>
    <w:p>
      <w:pPr>
        <w:pStyle w:val="Normal"/>
        <w:tabs>
          <w:tab w:val="clear" w:pos="360"/>
          <w:tab w:val="left" w:pos="5040" w:leader="none"/>
        </w:tabs>
        <w:jc w:val="both"/>
        <w:rPr>
          <w:sz w:val="22"/>
        </w:rPr>
      </w:pPr>
      <w:r>
        <w:rPr>
          <w:sz w:val="22"/>
        </w:rPr>
        <w:tab/>
      </w:r>
    </w:p>
    <w:p>
      <w:pPr>
        <w:pStyle w:val="Normal"/>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8"/>
      </w:rPr>
    </w:pPr>
    <w:r>
      <w:rPr>
        <w:sz w:val="18"/>
      </w:rPr>
    </w:r>
  </w:p>
  <w:p>
    <w:pPr>
      <w:pStyle w:val="Footer"/>
      <w:rPr>
        <w:sz w:val="18"/>
      </w:rPr>
    </w:pPr>
    <w:r>
      <w:rPr>
        <w:sz w:val="18"/>
      </w:rPr>
      <w:t>CIBC Confidentiality Agreement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360"/>
  <w:autoHyphenation w:val="true"/>
  <w:hyphenationZone w:val="0"/>
  <w:compat>
    <w:doNotExpandShiftReturn/>
    <w:usePrinterMetrics/>
    <w:compatSetting w:name="compatibilityMode" w:uri="http://schemas.microsoft.com/office/word" w:val="11"/>
  </w:compat>
  <w:docVars>
    <w:docVar w:name="Code" w:val=""/>
    <w:docVar w:name="DocMax" w:val="no"/>
    <w:docVar w:name="DocType" w:val="Not Presentation"/>
    <w:docVar w:name="European" w:val="no"/>
    <w:docVar w:name="Header" w:val="yes"/>
    <w:docVar w:name="Operator" w:val="no"/>
    <w:docVar w:name="PrintMethod" w:val="MenuFilePrint"/>
    <w:docVar w:name="Spell" w:val=""/>
    <w:docVar w:name="UserType" w:val=""/>
    <w:docVar w:name="WasBackground" w:val="yes"/>
    <w:docVar w:name="WasDirty" w:val="yes"/>
    <w:docVar w:name="WasDirty."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numPr>
        <w:ilvl w:val="0"/>
        <w:numId w:val="1"/>
      </w:numPr>
      <w:spacing w:before="0" w:after="240"/>
      <w:outlineLvl w:val="0"/>
    </w:pPr>
    <w:rPr>
      <w:rFonts w:ascii="Arial" w:hAnsi="Arial" w:cs="Arial"/>
      <w:b/>
      <w:kern w:val="2"/>
      <w:sz w:val="28"/>
    </w:rPr>
  </w:style>
  <w:style w:type="paragraph" w:styleId="Heading2">
    <w:name w:val="heading 2"/>
    <w:basedOn w:val="Normal"/>
    <w:next w:val="Body"/>
    <w:qFormat/>
    <w:pPr>
      <w:keepNext w:val="true"/>
      <w:numPr>
        <w:ilvl w:val="1"/>
        <w:numId w:val="1"/>
      </w:numPr>
      <w:spacing w:before="0" w:after="240"/>
      <w:outlineLvl w:val="1"/>
    </w:pPr>
    <w:rPr>
      <w:rFonts w:ascii="Arial" w:hAnsi="Arial" w:cs="Arial"/>
      <w:b/>
      <w:i/>
      <w:sz w:val="24"/>
    </w:rPr>
  </w:style>
  <w:style w:type="paragraph" w:styleId="Heading3">
    <w:name w:val="heading 3"/>
    <w:basedOn w:val="Normal"/>
    <w:next w:val="Body"/>
    <w:qFormat/>
    <w:pPr>
      <w:keepNext w:val="true"/>
      <w:numPr>
        <w:ilvl w:val="2"/>
        <w:numId w:val="1"/>
      </w:numPr>
      <w:spacing w:before="0" w:after="240"/>
      <w:outlineLvl w:val="2"/>
    </w:pPr>
    <w:rPr>
      <w:b/>
      <w:sz w:val="24"/>
    </w:rPr>
  </w:style>
  <w:style w:type="paragraph" w:styleId="Heading4">
    <w:name w:val="heading 4"/>
    <w:basedOn w:val="Normal"/>
    <w:next w:val="Body"/>
    <w:qFormat/>
    <w:pPr>
      <w:keepNext w:val="true"/>
      <w:numPr>
        <w:ilvl w:val="3"/>
        <w:numId w:val="1"/>
      </w:numPr>
      <w:spacing w:before="0" w:after="240"/>
      <w:outlineLvl w:val="3"/>
    </w:pPr>
    <w:rPr>
      <w:b/>
      <w:i/>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spacing w:before="0" w:after="240"/>
    </w:pPr>
    <w:rPr/>
  </w:style>
  <w:style w:type="paragraph" w:styleId="Bullet1">
    <w:name w:val="Bullet1"/>
    <w:basedOn w:val="Normal"/>
    <w:next w:val="Body"/>
    <w:qFormat/>
    <w:pPr>
      <w:numPr>
        <w:ilvl w:val="0"/>
        <w:numId w:val="2"/>
      </w:numPr>
      <w:spacing w:before="0" w:after="240"/>
      <w:ind w:hanging="720" w:start="1440" w:end="0"/>
    </w:pPr>
    <w:rPr/>
  </w:style>
  <w:style w:type="paragraph" w:styleId="Bullet3">
    <w:name w:val="Bullet3"/>
    <w:basedOn w:val="Normal"/>
    <w:next w:val="Body"/>
    <w:qFormat/>
    <w:pPr>
      <w:numPr>
        <w:ilvl w:val="0"/>
        <w:numId w:val="3"/>
      </w:numPr>
      <w:spacing w:before="0" w:after="240"/>
      <w:ind w:hanging="720" w:start="2880" w:end="0"/>
    </w:pPr>
    <w:rPr/>
  </w:style>
  <w:style w:type="paragraph" w:styleId="Dash2">
    <w:name w:val="Dash2"/>
    <w:basedOn w:val="Normal"/>
    <w:next w:val="Body"/>
    <w:qFormat/>
    <w:pPr>
      <w:numPr>
        <w:ilvl w:val="0"/>
        <w:numId w:val="4"/>
      </w:numPr>
      <w:spacing w:before="0" w:after="240"/>
      <w:ind w:hanging="720" w:start="2160" w:end="0"/>
    </w:pPr>
    <w:rPr/>
  </w:style>
  <w:style w:type="paragraph" w:styleId="Dash4">
    <w:name w:val="Dash4"/>
    <w:basedOn w:val="Normal"/>
    <w:next w:val="Body"/>
    <w:qFormat/>
    <w:pPr>
      <w:numPr>
        <w:ilvl w:val="0"/>
        <w:numId w:val="5"/>
      </w:numPr>
      <w:spacing w:before="0" w:after="240"/>
      <w:ind w:hanging="720" w:start="3600" w:end="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680" w:leader="none"/>
        <w:tab w:val="right" w:pos="9360" w:leader="none"/>
      </w:tabs>
    </w:pPr>
    <w:rPr/>
  </w:style>
  <w:style w:type="paragraph" w:styleId="Header">
    <w:name w:val="header"/>
    <w:basedOn w:val="Normal"/>
    <w:pPr>
      <w:tabs>
        <w:tab w:val="clear" w:pos="360"/>
        <w:tab w:val="center" w:pos="4680" w:leader="none"/>
        <w:tab w:val="right" w:pos="9360" w:leader="none"/>
      </w:tabs>
    </w:pPr>
    <w:rPr/>
  </w:style>
  <w:style w:type="paragraph" w:styleId="MacroText">
    <w:name w:val="Macro Text"/>
    <w:qFormat/>
    <w:pPr>
      <w:widowControl/>
      <w:tabs>
        <w:tab w:val="clear" w:pos="36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Hidden">
    <w:name w:val="Hidden"/>
    <w:basedOn w:val="Normal"/>
    <w:next w:val="Normal"/>
    <w:qFormat/>
    <w:pPr/>
    <w:rPr>
      <w:rFonts w:ascii="Arial" w:hAnsi="Arial" w:cs="Arial"/>
      <w:vanish/>
      <w:color w:val="0000FF"/>
      <w:sz w:val="16"/>
    </w:rPr>
  </w:style>
  <w:style w:type="paragraph" w:styleId="BodyTextIndent">
    <w:name w:val="Body Text Indent"/>
    <w:basedOn w:val="Normal"/>
    <w:pPr>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240"/>
      <w:ind w:hanging="720" w:start="1440" w:end="0"/>
      <w:jc w:val="both"/>
    </w:pPr>
    <w:rPr>
      <w:sz w:val="22"/>
    </w:rPr>
  </w:style>
  <w:style w:type="paragraph" w:styleId="TOAHeading">
    <w:name w:val="TOA Heading"/>
    <w:basedOn w:val="Normal"/>
    <w:next w:val="Normal"/>
    <w:qFormat/>
    <w:pPr>
      <w:widowControl w:val="false"/>
      <w:tabs>
        <w:tab w:val="clear" w:pos="360"/>
        <w:tab w:val="left" w:pos="9000" w:leader="none"/>
        <w:tab w:val="right" w:pos="9360" w:leader="none"/>
      </w:tabs>
      <w:suppressAutoHyphens w:val="true"/>
    </w:pPr>
    <w:rPr>
      <w:rFonts w:ascii="CG Times" w:hAnsi="CG Times" w:cs="CG Times"/>
      <w:sz w:val="22"/>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2000-07-28T21:11:00Z</dcterms:created>
  <dc:creator>Scott Rogan</dc:creator>
  <dc:description/>
  <dc:language>en-CA</dc:language>
  <cp:lastModifiedBy>stoyanob</cp:lastModifiedBy>
  <cp:lastPrinted>2000-07-20T19:10:00Z</cp:lastPrinted>
  <dcterms:modified xsi:type="dcterms:W3CDTF">2000-07-28T21:11:00Z</dcterms:modified>
  <cp:revision>2</cp:revision>
  <dc:subject/>
  <dc:title>Creates a plain document</dc:title>
</cp:coreProperties>
</file>