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40"/>
        <w:rPr>
          <w:sz w:val="22"/>
        </w:rPr>
      </w:pPr>
      <w:r>
        <w:rPr>
          <w:sz w:val="22"/>
        </w:rPr>
        <w:t>Translation from Spanish</w:t>
      </w:r>
    </w:p>
    <w:p>
      <w:pPr>
        <w:pStyle w:val="Normal"/>
        <w:rPr>
          <w:sz w:val="22"/>
        </w:rPr>
      </w:pPr>
      <w:r>
        <w:rPr>
          <w:sz w:val="22"/>
        </w:rPr>
        <w:t>Filename: ENR206SE</w:t>
      </w:r>
    </w:p>
    <w:p>
      <w:pPr>
        <w:pStyle w:val="Normal"/>
        <w:rPr>
          <w:sz w:val="22"/>
        </w:rPr>
      </w:pPr>
      <w:r>
        <w:rPr>
          <w:sz w:val="22"/>
        </w:rPr>
        <w:t>Translated: 27 May 2001</w:t>
      </w:r>
    </w:p>
    <w:p>
      <w:pPr>
        <w:pStyle w:val="Normal"/>
        <w:rPr>
          <w:sz w:val="22"/>
        </w:rPr>
      </w:pPr>
      <w:r>
        <w:rPr>
          <w:sz w:val="22"/>
        </w:rPr>
        <w:t>Edited: 29 May 2001</w:t>
      </w:r>
    </w:p>
    <w:p>
      <w:pPr>
        <w:sectPr>
          <w:type w:val="nextPage"/>
          <w:pgSz w:w="11906" w:h="16838"/>
          <w:pgMar w:left="1800" w:right="1800" w:gutter="0" w:header="0" w:top="1440" w:footer="0" w:bottom="1440"/>
          <w:pgNumType w:fmt="decimal"/>
          <w:formProt w:val="false"/>
          <w:textDirection w:val="lrTb"/>
          <w:docGrid w:type="default" w:linePitch="360" w:charSpace="0"/>
        </w:sectPr>
        <w:pStyle w:val="Normal"/>
        <w:rPr>
          <w:sz w:val="22"/>
        </w:rPr>
      </w:pPr>
      <w:r>
        <w:rPr>
          <w:sz w:val="22"/>
        </w:rPr>
        <w:t>***START</w:t>
      </w:r>
    </w:p>
    <w:p>
      <w:pPr>
        <w:pStyle w:val="Heading2"/>
        <w:ind w:hanging="0" w:start="0"/>
        <w:rPr/>
      </w:pPr>
      <w:r>
        <w:rPr/>
        <w:t>The Chairman</w:t>
      </w:r>
    </w:p>
    <w:p>
      <w:pPr>
        <w:pStyle w:val="Normal"/>
        <w:ind w:start="5760" w:end="0"/>
        <w:jc w:val="center"/>
        <w:rPr>
          <w:sz w:val="22"/>
        </w:rPr>
      </w:pPr>
      <w:r>
        <w:rPr>
          <w:sz w:val="22"/>
        </w:rPr>
        <w:t>[stamp]</w:t>
      </w:r>
    </w:p>
    <w:p>
      <w:pPr>
        <w:pStyle w:val="Normal"/>
        <w:ind w:start="5760" w:end="0"/>
        <w:jc w:val="center"/>
        <w:rPr>
          <w:sz w:val="22"/>
        </w:rPr>
      </w:pPr>
      <w:r>
        <w:rPr>
          <w:sz w:val="22"/>
        </w:rPr>
        <w:t>COMISIÓN NACIONAL DE ENERGÍA</w:t>
      </w:r>
    </w:p>
    <w:p>
      <w:pPr>
        <w:pStyle w:val="Normal"/>
        <w:ind w:start="5760" w:end="0"/>
        <w:jc w:val="center"/>
        <w:rPr>
          <w:sz w:val="22"/>
        </w:rPr>
      </w:pPr>
      <w:r>
        <w:rPr>
          <w:sz w:val="22"/>
        </w:rPr>
        <w:t>OUTGOING</w:t>
      </w:r>
    </w:p>
    <w:p>
      <w:pPr>
        <w:pStyle w:val="Normal"/>
        <w:ind w:start="5760" w:end="0"/>
        <w:jc w:val="center"/>
        <w:rPr>
          <w:sz w:val="22"/>
        </w:rPr>
      </w:pPr>
      <w:r>
        <w:rPr>
          <w:sz w:val="22"/>
        </w:rPr>
        <w:t>[illeg.] No.: [illeg.]</w:t>
      </w:r>
    </w:p>
    <w:p>
      <w:pPr>
        <w:pStyle w:val="Normal"/>
        <w:ind w:start="5760" w:end="0"/>
        <w:jc w:val="center"/>
        <w:rPr>
          <w:sz w:val="22"/>
        </w:rPr>
      </w:pPr>
      <w:r>
        <w:rPr>
          <w:sz w:val="22"/>
        </w:rPr>
        <w:t>25-05-2001 15:07:38</w:t>
      </w:r>
    </w:p>
    <w:p>
      <w:pPr>
        <w:pStyle w:val="Normal"/>
        <w:rPr/>
      </w:pPr>
      <w:r>
        <w:rPr>
          <w:b/>
          <w:sz w:val="22"/>
        </w:rPr>
        <w:t>ENRON ESPAÑA ENERGÍA, S.L.</w:t>
        <w:br/>
      </w:r>
      <w:r>
        <w:rPr>
          <w:sz w:val="22"/>
        </w:rPr>
        <w:t>Príncipe de Vergara, 132, 9</w:t>
      </w:r>
      <w:r>
        <w:rPr>
          <w:sz w:val="22"/>
          <w:vertAlign w:val="superscript"/>
        </w:rPr>
        <w:t>th</w:t>
      </w:r>
      <w:r>
        <w:rPr>
          <w:sz w:val="22"/>
        </w:rPr>
        <w:t xml:space="preserve"> floor</w:t>
        <w:br/>
      </w:r>
      <w:r>
        <w:rPr>
          <w:b/>
          <w:sz w:val="22"/>
        </w:rPr>
        <w:t>28002 MADRID</w:t>
      </w:r>
    </w:p>
    <w:p>
      <w:pPr>
        <w:pStyle w:val="Normal"/>
        <w:jc w:val="end"/>
        <w:rPr>
          <w:b/>
          <w:sz w:val="22"/>
        </w:rPr>
      </w:pPr>
      <w:r>
        <w:rPr>
          <w:b/>
          <w:sz w:val="22"/>
        </w:rPr>
        <w:t>Ref. no. C.A.T.R.2/01</w:t>
      </w:r>
    </w:p>
    <w:p>
      <w:pPr>
        <w:pStyle w:val="Normal"/>
        <w:jc w:val="end"/>
        <w:rPr>
          <w:b/>
          <w:sz w:val="22"/>
        </w:rPr>
      </w:pPr>
      <w:r>
        <w:rPr>
          <w:b/>
          <w:sz w:val="22"/>
        </w:rPr>
        <w:t>Notice of Decision</w:t>
      </w:r>
    </w:p>
    <w:p>
      <w:pPr>
        <w:pStyle w:val="Normal"/>
        <w:ind w:start="3960" w:end="0"/>
        <w:rPr>
          <w:sz w:val="22"/>
        </w:rPr>
      </w:pPr>
      <w:r>
        <w:rPr>
          <w:sz w:val="22"/>
        </w:rPr>
        <w:t>Madrid, 25 May 2001</w:t>
      </w:r>
    </w:p>
    <w:p>
      <w:pPr>
        <w:pStyle w:val="Normal"/>
        <w:rPr>
          <w:sz w:val="22"/>
        </w:rPr>
      </w:pPr>
      <w:r>
        <w:rPr>
          <w:sz w:val="22"/>
        </w:rPr>
        <w:t>At its meeting on 25 May 2001, the Board of Directors of the National Energy Commission pronounced the Decision, the entire text of which is attached herewith, settling the dispute action over access to the transportation network brought by ENRON ESPAÑA ENERGÍA, S.L. against ENAGAS, S.A., and processed by this Commission under number C.A.T.R.2/2001.</w:t>
      </w:r>
    </w:p>
    <w:p>
      <w:pPr>
        <w:pStyle w:val="Normal"/>
        <w:rPr>
          <w:sz w:val="22"/>
        </w:rPr>
      </w:pPr>
      <w:r>
        <w:rPr>
          <w:sz w:val="22"/>
        </w:rPr>
        <w:t>The above-mentioned Decision, which does not preclude recourse to further administrative proceedings, may be challenged by appeal to the Minister for the Economy, in accordance with the Third Supplementary Provision, 5, of Law No. 34/1998, dated 7 October 1998, relative to the Hydrocarbons Sector, and Art. 4.3 of Royal Decree No. 557/2000, dated 27 April 2000, such appeal to be lodged within one month from the day following receipt of this notice, as set down in Art. 115.1 of Law No. 30/1992, dated 26 November 1992, relative to Legal Regulations governing the Public Administration and the Common Administrative Procedure.</w:t>
      </w:r>
    </w:p>
    <w:p>
      <w:pPr>
        <w:pStyle w:val="Normal"/>
        <w:rPr>
          <w:sz w:val="22"/>
        </w:rPr>
      </w:pPr>
      <w:r>
        <w:rPr>
          <w:sz w:val="22"/>
        </w:rPr>
        <w:t>The above is hereby notified to that Company, in its capacity as interested party, for the purposes set down in Art. 58 of Law No. 30/1992, relative to Legal Regulations governing the Public Administration and the Common Administrative Procedure, as well as other rights deriving in accordance with the Law.</w:t>
      </w:r>
    </w:p>
    <w:p>
      <w:pPr>
        <w:pStyle w:val="Normal"/>
        <w:rPr>
          <w:sz w:val="22"/>
        </w:rPr>
      </w:pPr>
      <w:r>
        <w:rPr>
          <w:sz w:val="22"/>
        </w:rPr>
        <w:t>[signature]</w:t>
      </w:r>
    </w:p>
    <w:p>
      <w:pPr>
        <w:pStyle w:val="Normal"/>
        <w:rPr>
          <w:sz w:val="22"/>
        </w:rPr>
      </w:pPr>
      <w:r>
        <w:rPr>
          <w:sz w:val="22"/>
        </w:rPr>
        <w:t>Pedro María Meroño Vélez</w:t>
      </w:r>
    </w:p>
    <w:p>
      <w:pPr>
        <w:pStyle w:val="Normal"/>
        <w:jc w:val="center"/>
        <w:rPr>
          <w:sz w:val="20"/>
        </w:rPr>
      </w:pPr>
      <w:r>
        <w:rPr>
          <w:sz w:val="20"/>
        </w:rPr>
        <w:t>Marqués del Duero, 4, 28001 Madrid. Ph. 91 432 96 01 / 02. Fax 91 577 13 62. Email pmv@cne.es</w:t>
      </w:r>
      <w:r>
        <w:br w:type="page"/>
      </w:r>
    </w:p>
    <w:p>
      <w:pPr>
        <w:pStyle w:val="Normal"/>
        <w:jc w:val="center"/>
        <w:rPr>
          <w:b/>
          <w:sz w:val="22"/>
        </w:rPr>
      </w:pPr>
      <w:r>
        <w:rPr>
          <w:b/>
          <w:sz w:val="22"/>
        </w:rPr>
        <w:t>DECISION ON THE DISPUTE PROCEEDINGS RELATIVE TO ACCESS TO THE TRANSPORTATION NETWORK No. C.A.T.R.2/2001 BROUGHT BY ENRON ESPAÑA ENERGÍA, S.L. AGAINST ENAGAS, S.A.</w:t>
      </w:r>
    </w:p>
    <w:p>
      <w:pPr>
        <w:pStyle w:val="Normal"/>
        <w:rPr>
          <w:sz w:val="22"/>
        </w:rPr>
      </w:pPr>
      <w:r>
        <w:rPr>
          <w:sz w:val="22"/>
        </w:rPr>
        <w:t>25/05/01</w:t>
      </w:r>
    </w:p>
    <w:p>
      <w:pPr>
        <w:pStyle w:val="Normal"/>
        <w:rPr>
          <w:sz w:val="22"/>
        </w:rPr>
      </w:pPr>
      <w:r>
        <w:rPr>
          <w:sz w:val="22"/>
        </w:rPr>
        <w:t>[This page and all following are initialled]</w:t>
      </w:r>
      <w:r>
        <w:br w:type="page"/>
      </w:r>
    </w:p>
    <w:p>
      <w:pPr>
        <w:pStyle w:val="Normal"/>
        <w:jc w:val="center"/>
        <w:rPr>
          <w:b/>
          <w:sz w:val="22"/>
        </w:rPr>
      </w:pPr>
      <w:r>
        <w:rPr>
          <w:b/>
          <w:sz w:val="22"/>
        </w:rPr>
        <w:t>DECISION ON THE DISPUTE PROCEEDINGS RELATIVE TO ACCESS TO THE TRANSPORTATION NETWORK No. C.A.T.R.2/2001 BROUGHT BY ENRON ESPAÑA ENERGÍA, S.L. AGAINST ENAGAS, S.A.</w:t>
      </w:r>
    </w:p>
    <w:p>
      <w:pPr>
        <w:pStyle w:val="Normal"/>
        <w:jc w:val="center"/>
        <w:rPr>
          <w:b/>
          <w:sz w:val="22"/>
        </w:rPr>
      </w:pPr>
      <w:r>
        <w:rPr>
          <w:b/>
          <w:sz w:val="22"/>
        </w:rPr>
        <w:t>RECITALS</w:t>
      </w:r>
    </w:p>
    <w:p>
      <w:pPr>
        <w:pStyle w:val="Normal"/>
        <w:ind w:hanging="720" w:start="720" w:end="0"/>
        <w:rPr/>
      </w:pPr>
      <w:r>
        <w:rPr>
          <w:sz w:val="22"/>
        </w:rPr>
        <w:t>I.</w:t>
        <w:tab/>
        <w:t xml:space="preserve">On 26 March 2001, a notice of disagreement from </w:t>
      </w:r>
      <w:r>
        <w:rPr>
          <w:b/>
          <w:sz w:val="22"/>
        </w:rPr>
        <w:t>ENRON ESPAÑA ENERGÍA, S.L.</w:t>
      </w:r>
      <w:r>
        <w:rPr>
          <w:sz w:val="22"/>
        </w:rPr>
        <w:t xml:space="preserve">, dated 23 March 2001, was entered into the Register of the National Energy Commission, such notice formally requesting said Commission to initiate proceedings to resolve the dispute arising from the request of the above-mentioned Enron España Energía, S.L., for access to the natural gas transportation network for the Arcos de la Frontera (Cádiz) power station, and from the subsequent refusal of </w:t>
      </w:r>
      <w:r>
        <w:rPr>
          <w:b/>
          <w:sz w:val="22"/>
        </w:rPr>
        <w:t>Enagas, S.A.</w:t>
      </w:r>
      <w:r>
        <w:rPr>
          <w:sz w:val="22"/>
        </w:rPr>
        <w:t xml:space="preserve"> to fulfil that request under the conditions set down by the applicant.</w:t>
      </w:r>
    </w:p>
    <w:p>
      <w:pPr>
        <w:pStyle w:val="Normal"/>
        <w:ind w:start="720" w:end="0"/>
        <w:rPr>
          <w:sz w:val="22"/>
        </w:rPr>
      </w:pPr>
      <w:r>
        <w:rPr>
          <w:sz w:val="22"/>
        </w:rPr>
        <w:t>According to the contents of the above-mentioned notice from Enron España Energía, S.L., the formal request for access and the reserving of capacity in the Enagas, S.A. transportation system was made by document dated 29 January 2001, addressed to the latter.</w:t>
      </w:r>
    </w:p>
    <w:p>
      <w:pPr>
        <w:pStyle w:val="Normal"/>
        <w:ind w:start="720" w:end="0"/>
        <w:rPr>
          <w:sz w:val="22"/>
        </w:rPr>
      </w:pPr>
      <w:r>
        <w:rPr>
          <w:sz w:val="22"/>
        </w:rPr>
        <w:t>That request was answered by Enagas, S.A. by document dated 28 February 2001, according to the statements of Enron España Energía, S.L., with Enagas, S.A. stating that, due essentially to the significant increase in domestic, commercial and industrial demand in recent times, it was necessary to undertake the creation of new infrastructures to provide the gas network with the regasification and transportation capacity needed in order to be able to cater to the expected demand in the medium and long term. For this reason, although it was not possible to provide the regasification and transportation services requested on the commencement date, Enagas, S.A. advised that it would be able to provide access on a continuous basis starting from the second quarter of 2004, provided that there were no undue delays in the processing of permits and administrative authorisations.</w:t>
      </w:r>
    </w:p>
    <w:p>
      <w:pPr>
        <w:pStyle w:val="Normal"/>
        <w:ind w:start="720" w:end="0"/>
        <w:rPr/>
      </w:pPr>
      <w:r>
        <w:rPr>
          <w:sz w:val="22"/>
        </w:rPr>
        <w:t xml:space="preserve">The dispute is based, according to Enron España Energía, S.L., on the total absence of support for the alleged reason put forward by Enagas S.A. According to Enron España Energía, S.L., it is totally unacceptable that a decision with economic significance for the applicant, and for the rest of the country as well, be based on an alleged </w:t>
      </w:r>
      <w:r>
        <w:rPr>
          <w:i/>
          <w:sz w:val="22"/>
        </w:rPr>
        <w:t>“significant increase in domestic, commercial and industrial demand in recent times”</w:t>
      </w:r>
      <w:r>
        <w:rPr>
          <w:sz w:val="22"/>
        </w:rPr>
        <w:t>, without the existence of this increase in demand being proven, without figures detailing this increase being provided, without providing properly-based forecasts of the change in this demand and of the need for the new infrastructures to which reference is made in a generic manner, and, lastly, without there being provided evidential documentary justification demonstrating that the refusal is not arbitrary and, to the extent that other energy-related projects for which applications for transportation capacity have been made have not received the same response to their formal requests for access, potentially discriminatory.</w:t>
      </w:r>
    </w:p>
    <w:p>
      <w:pPr>
        <w:pStyle w:val="Normal"/>
        <w:ind w:start="720" w:end="0"/>
        <w:rPr>
          <w:sz w:val="22"/>
        </w:rPr>
      </w:pPr>
      <w:r>
        <w:rPr>
          <w:sz w:val="22"/>
        </w:rPr>
        <w:t>Amongst the documentation provided by Enron España Energía, S.L. are copies of the following correspondence exchanged between that party and Enagas, S.A.:</w:t>
      </w:r>
    </w:p>
    <w:p>
      <w:pPr>
        <w:pStyle w:val="Normal"/>
        <w:numPr>
          <w:ilvl w:val="0"/>
          <w:numId w:val="5"/>
        </w:numPr>
        <w:ind w:hanging="360" w:start="1350" w:end="0"/>
        <w:rPr>
          <w:sz w:val="22"/>
        </w:rPr>
      </w:pPr>
      <w:r>
        <w:rPr>
          <w:sz w:val="22"/>
        </w:rPr>
        <w:t>Letter from Enron España [sic], S.L., dated 11 December 1998</w:t>
      </w:r>
    </w:p>
    <w:p>
      <w:pPr>
        <w:pStyle w:val="Normal"/>
        <w:numPr>
          <w:ilvl w:val="0"/>
          <w:numId w:val="5"/>
        </w:numPr>
        <w:ind w:hanging="360" w:start="1350" w:end="0"/>
        <w:rPr>
          <w:sz w:val="22"/>
        </w:rPr>
      </w:pPr>
      <w:r>
        <w:rPr>
          <w:sz w:val="22"/>
        </w:rPr>
        <w:t>Letter from Enagas, S.A., dated 12 January 1999</w:t>
      </w:r>
    </w:p>
    <w:p>
      <w:pPr>
        <w:pStyle w:val="Normal"/>
        <w:numPr>
          <w:ilvl w:val="0"/>
          <w:numId w:val="5"/>
        </w:numPr>
        <w:ind w:hanging="360" w:start="1350" w:end="0"/>
        <w:rPr>
          <w:sz w:val="22"/>
        </w:rPr>
      </w:pPr>
      <w:r>
        <w:rPr>
          <w:sz w:val="22"/>
        </w:rPr>
        <w:t>Letter from Enron Energía [sic], S.L., dated 5 October 1999</w:t>
      </w:r>
    </w:p>
    <w:p>
      <w:pPr>
        <w:pStyle w:val="Normal"/>
        <w:numPr>
          <w:ilvl w:val="0"/>
          <w:numId w:val="3"/>
        </w:numPr>
        <w:ind w:hanging="360" w:start="1350" w:end="0"/>
        <w:rPr>
          <w:sz w:val="22"/>
        </w:rPr>
      </w:pPr>
      <w:r>
        <w:rPr>
          <w:sz w:val="22"/>
        </w:rPr>
        <w:t>Letter from Enagas, S.A., dated 30 December 1999</w:t>
      </w:r>
    </w:p>
    <w:p>
      <w:pPr>
        <w:pStyle w:val="Normal"/>
        <w:numPr>
          <w:ilvl w:val="0"/>
          <w:numId w:val="3"/>
        </w:numPr>
        <w:ind w:hanging="360" w:start="1350" w:end="0"/>
        <w:rPr>
          <w:sz w:val="22"/>
        </w:rPr>
      </w:pPr>
      <w:r>
        <w:rPr>
          <w:sz w:val="22"/>
        </w:rPr>
        <w:t>Letter from Enron España Generación, S.L., dated 13 March 2000</w:t>
      </w:r>
    </w:p>
    <w:p>
      <w:pPr>
        <w:pStyle w:val="Normal"/>
        <w:numPr>
          <w:ilvl w:val="0"/>
          <w:numId w:val="3"/>
        </w:numPr>
        <w:ind w:hanging="360" w:start="1350" w:end="0"/>
        <w:rPr>
          <w:sz w:val="22"/>
        </w:rPr>
      </w:pPr>
      <w:r>
        <w:rPr>
          <w:sz w:val="22"/>
        </w:rPr>
        <w:t>Letter from Enron España Generación, S.L., dated 30 June 2000</w:t>
      </w:r>
    </w:p>
    <w:p>
      <w:pPr>
        <w:pStyle w:val="Normal"/>
        <w:numPr>
          <w:ilvl w:val="0"/>
          <w:numId w:val="3"/>
        </w:numPr>
        <w:ind w:hanging="360" w:start="1350" w:end="0"/>
        <w:rPr>
          <w:sz w:val="22"/>
        </w:rPr>
      </w:pPr>
      <w:r>
        <w:rPr>
          <w:sz w:val="22"/>
        </w:rPr>
        <w:t>Letter from Enron España Generación, S.L., dated 14 July 2000</w:t>
      </w:r>
    </w:p>
    <w:p>
      <w:pPr>
        <w:pStyle w:val="Normal"/>
        <w:numPr>
          <w:ilvl w:val="0"/>
          <w:numId w:val="3"/>
        </w:numPr>
        <w:ind w:hanging="360" w:start="1350" w:end="0"/>
        <w:rPr>
          <w:sz w:val="22"/>
        </w:rPr>
      </w:pPr>
      <w:r>
        <w:rPr>
          <w:sz w:val="22"/>
        </w:rPr>
        <w:t>Letter from Enron España Generación, S.L., dated 25 July 2000</w:t>
      </w:r>
      <w:r>
        <w:br w:type="page"/>
      </w:r>
    </w:p>
    <w:p>
      <w:pPr>
        <w:pStyle w:val="Normal"/>
        <w:numPr>
          <w:ilvl w:val="0"/>
          <w:numId w:val="3"/>
        </w:numPr>
        <w:ind w:hanging="360" w:start="1350" w:end="0"/>
        <w:rPr>
          <w:sz w:val="22"/>
        </w:rPr>
      </w:pPr>
      <w:r>
        <w:rPr>
          <w:sz w:val="22"/>
        </w:rPr>
        <w:t>Letter of formal application for access from Enron España Generación, S.L., dated 29 January 2001</w:t>
      </w:r>
    </w:p>
    <w:p>
      <w:pPr>
        <w:pStyle w:val="Normal"/>
        <w:numPr>
          <w:ilvl w:val="0"/>
          <w:numId w:val="3"/>
        </w:numPr>
        <w:ind w:hanging="360" w:start="1350" w:end="0"/>
        <w:rPr>
          <w:sz w:val="22"/>
        </w:rPr>
      </w:pPr>
      <w:r>
        <w:rPr>
          <w:sz w:val="22"/>
        </w:rPr>
        <w:t>Letter from Enagas, S.A., dated 28 February 2001</w:t>
      </w:r>
    </w:p>
    <w:p>
      <w:pPr>
        <w:pStyle w:val="Normal"/>
        <w:ind w:hanging="720" w:start="720" w:end="0"/>
        <w:rPr>
          <w:sz w:val="22"/>
        </w:rPr>
      </w:pPr>
      <w:r>
        <w:rPr>
          <w:sz w:val="22"/>
        </w:rPr>
        <w:t>II.</w:t>
        <w:tab/>
        <w:t>On 3 April 2001, the Board of Directors of the National Energy Commission agreed to appoint the Technical and Support Office to the Gas Administration (Subdirección Técnica y de Apoyo a la Dirección de Gas) as examining authority in the proceedings, which fact was notified by letters dated 4 April to both Enron España Energía, S.L. and Enagas, S.A.</w:t>
      </w:r>
    </w:p>
    <w:p>
      <w:pPr>
        <w:pStyle w:val="BodyTextIndent2"/>
        <w:rPr/>
      </w:pPr>
      <w:r>
        <w:rPr/>
        <w:t>In these letters, notice was also given of the procedure to be followed and the effects of administrative silence, in compliance with the provisions of Art. 42.4 of Law No. 30/1992, and with express reference, as regards administrative silence, to the positive interpretation thereof, and notice was also given that the maximum period for resolution of the matter was two months from the date of submission of the notice by Enron España Energía, S.L., all in accordance with Art. 15 of Royal Decree No. 1339/1999, dated 31 July 1999, approving the Regulations of the National Energy Commission.</w:t>
      </w:r>
    </w:p>
    <w:p>
      <w:pPr>
        <w:pStyle w:val="Normal"/>
        <w:tabs>
          <w:tab w:val="clear" w:pos="720"/>
          <w:tab w:val="left" w:pos="709" w:leader="none"/>
        </w:tabs>
        <w:ind w:hanging="709" w:start="709" w:end="0"/>
        <w:rPr>
          <w:sz w:val="22"/>
        </w:rPr>
      </w:pPr>
      <w:r>
        <w:rPr>
          <w:sz w:val="22"/>
        </w:rPr>
        <w:t>III.</w:t>
        <w:tab/>
        <w:t>On 5 April 2001, Enagas, S.A. was requested to provide further information on the reasons for the refusal of access under the conditions requested by Enron España Energía, S.L.</w:t>
      </w:r>
    </w:p>
    <w:p>
      <w:pPr>
        <w:pStyle w:val="Normal"/>
        <w:tabs>
          <w:tab w:val="clear" w:pos="720"/>
          <w:tab w:val="left" w:pos="709" w:leader="none"/>
        </w:tabs>
        <w:ind w:hanging="709" w:start="709" w:end="0"/>
        <w:rPr>
          <w:sz w:val="22"/>
        </w:rPr>
      </w:pPr>
      <w:r>
        <w:rPr>
          <w:sz w:val="22"/>
        </w:rPr>
        <w:tab/>
        <w:t>On 17 April, the response of Enagas, S.A., providing the requested information, was received at the National Energy Commission.</w:t>
      </w:r>
    </w:p>
    <w:p>
      <w:pPr>
        <w:pStyle w:val="Normal"/>
        <w:tabs>
          <w:tab w:val="clear" w:pos="720"/>
          <w:tab w:val="left" w:pos="709" w:leader="none"/>
        </w:tabs>
        <w:ind w:hanging="709" w:start="709" w:end="0"/>
        <w:rPr>
          <w:sz w:val="22"/>
        </w:rPr>
      </w:pPr>
      <w:r>
        <w:rPr>
          <w:sz w:val="22"/>
        </w:rPr>
        <w:t>IV.</w:t>
        <w:tab/>
        <w:t>On the same date, 5 April 2001, Enron España Energía, S.L. was requested to provide information on the processing of permits for the Arcos de la Frontera (Cádiz) power station, procurement commitments for the station, scheduling of the various works, the current status thereof and a best estimate of their date of completion.</w:t>
      </w:r>
    </w:p>
    <w:p>
      <w:pPr>
        <w:pStyle w:val="Normal"/>
        <w:tabs>
          <w:tab w:val="clear" w:pos="720"/>
          <w:tab w:val="left" w:pos="709" w:leader="none"/>
        </w:tabs>
        <w:ind w:hanging="709" w:start="709" w:end="0"/>
        <w:rPr>
          <w:sz w:val="22"/>
        </w:rPr>
      </w:pPr>
      <w:r>
        <w:rPr>
          <w:sz w:val="22"/>
        </w:rPr>
        <w:tab/>
        <w:t>On 16 April, the response of Enron España Energía, S.L., providing the requested information, was received at the National Energy Commission.</w:t>
      </w:r>
    </w:p>
    <w:p>
      <w:pPr>
        <w:pStyle w:val="Normal"/>
        <w:tabs>
          <w:tab w:val="clear" w:pos="720"/>
          <w:tab w:val="left" w:pos="709" w:leader="none"/>
        </w:tabs>
        <w:ind w:hanging="709" w:start="709" w:end="0"/>
        <w:rPr>
          <w:sz w:val="22"/>
        </w:rPr>
      </w:pPr>
      <w:r>
        <w:rPr>
          <w:sz w:val="22"/>
        </w:rPr>
        <w:t>V.</w:t>
        <w:tab/>
        <w:t>In addition, the following documents, which were in possession of this Commission, were incorporated into the dispute case file:</w:t>
      </w:r>
    </w:p>
    <w:p>
      <w:pPr>
        <w:pStyle w:val="Normal"/>
        <w:numPr>
          <w:ilvl w:val="0"/>
          <w:numId w:val="6"/>
        </w:numPr>
        <w:tabs>
          <w:tab w:val="clear" w:pos="720"/>
          <w:tab w:val="left" w:pos="1440" w:leader="none"/>
        </w:tabs>
        <w:ind w:hanging="360" w:start="1440" w:end="0"/>
        <w:rPr>
          <w:sz w:val="22"/>
        </w:rPr>
      </w:pPr>
      <w:r>
        <w:rPr>
          <w:sz w:val="22"/>
        </w:rPr>
        <w:t>A copy of the notification by Enron España Energía, S.L., dated 9 February 2001, submitting to the National Energy Commission a letter sent to the Director General of Energy and Mining Policy, referring to possible problems of access and reservation of capacity in the gas system for the Arcos de la Frontera power station.</w:t>
      </w:r>
    </w:p>
    <w:p>
      <w:pPr>
        <w:pStyle w:val="Normal"/>
        <w:numPr>
          <w:ilvl w:val="0"/>
          <w:numId w:val="6"/>
        </w:numPr>
        <w:tabs>
          <w:tab w:val="clear" w:pos="720"/>
          <w:tab w:val="left" w:pos="1440" w:leader="none"/>
        </w:tabs>
        <w:ind w:hanging="360" w:start="1440" w:end="0"/>
        <w:rPr>
          <w:sz w:val="22"/>
        </w:rPr>
      </w:pPr>
      <w:r>
        <w:rPr>
          <w:sz w:val="22"/>
        </w:rPr>
        <w:t>A copy of the notification by Enagas, S.A., dated 5 March 2001, providing answers to the National Energy Committee with respect to the documents from the firms Iberdrola, AES Energía Cartagena, S.R.L., Unión Fenosa, S.A., and Enron España Energía, S.L. This document is attached in Annex 4, made up of correspondence and e-mails connected with Enron España Energía, S.L.</w:t>
      </w:r>
    </w:p>
    <w:p>
      <w:pPr>
        <w:pStyle w:val="Normal"/>
        <w:tabs>
          <w:tab w:val="clear" w:pos="720"/>
          <w:tab w:val="left" w:pos="709" w:leader="none"/>
        </w:tabs>
        <w:ind w:hanging="709" w:start="709" w:end="0"/>
        <w:rPr/>
      </w:pPr>
      <w:r>
        <w:rPr>
          <w:sz w:val="22"/>
        </w:rPr>
        <w:t>VI.</w:t>
        <w:tab/>
        <w:t xml:space="preserve">Upon completion of the examination procedure, on 19 April 2001, the examining authority made the case file available to the interested parties for a period of ten working days, in compliance with the </w:t>
      </w:r>
      <w:r>
        <w:rPr>
          <w:b/>
          <w:sz w:val="22"/>
        </w:rPr>
        <w:t>hearings procedure</w:t>
      </w:r>
      <w:r>
        <w:rPr>
          <w:sz w:val="22"/>
        </w:rPr>
        <w:t xml:space="preserve"> set down in Art. 84 of Law No. 30/1992, dated 26 November 1992.</w:t>
      </w:r>
    </w:p>
    <w:p>
      <w:pPr>
        <w:pStyle w:val="Normal"/>
        <w:tabs>
          <w:tab w:val="clear" w:pos="720"/>
          <w:tab w:val="left" w:pos="709" w:leader="none"/>
        </w:tabs>
        <w:ind w:hanging="709" w:start="709" w:end="0"/>
        <w:rPr>
          <w:sz w:val="22"/>
        </w:rPr>
      </w:pPr>
      <w:r>
        <w:rPr>
          <w:sz w:val="22"/>
        </w:rPr>
        <w:t>VII.</w:t>
        <w:tab/>
        <w:t>On 25 April 2001, a letter was received at the National Energy Commission from Enron España Energía, S.L., to point out that the information provided by Enagas, S.A., in response to the request formulated by the National Energy Committee by letter dated 5 April 2001 was, in its opinion, incomplete and did not respond to all the points required by the National Commission of Energy, in that it ignored the level of detail required thereby.</w:t>
      </w:r>
      <w:r>
        <w:br w:type="page"/>
      </w:r>
    </w:p>
    <w:p>
      <w:pPr>
        <w:pStyle w:val="BodyTextIndent3"/>
        <w:rPr/>
      </w:pPr>
      <w:r>
        <w:rPr/>
        <w:t>VIII.</w:t>
        <w:tab/>
        <w:t>On 26 April 2001, a letter was received at the National Energy Commission from Enron España Energía, S.L., applying to the Commission for an extension to the ten-day period allowed for formulation of pleadings, as a consequence of the complexity of the case in progress and the need to prepare the relevant pleadings.</w:t>
      </w:r>
    </w:p>
    <w:p>
      <w:pPr>
        <w:pStyle w:val="Normal"/>
        <w:tabs>
          <w:tab w:val="clear" w:pos="720"/>
          <w:tab w:val="left" w:pos="709" w:leader="none"/>
        </w:tabs>
        <w:ind w:hanging="709" w:start="709" w:end="0"/>
        <w:rPr>
          <w:sz w:val="22"/>
        </w:rPr>
      </w:pPr>
      <w:r>
        <w:rPr>
          <w:sz w:val="22"/>
        </w:rPr>
        <w:t>IX.</w:t>
        <w:tab/>
        <w:t>By document dated 26 April 2001, the examining authority notified Enron España Energía, S.L. and Enagas S.A. that, after having examined the request, the pleadings procedure would be extended by two working days for both parties, with the hearings procedure and formulation of pleadings to end on 5 May 2001.</w:t>
      </w:r>
    </w:p>
    <w:p>
      <w:pPr>
        <w:pStyle w:val="Normal"/>
        <w:tabs>
          <w:tab w:val="clear" w:pos="720"/>
          <w:tab w:val="left" w:pos="709" w:leader="none"/>
        </w:tabs>
        <w:ind w:hanging="709" w:start="709" w:end="0"/>
        <w:rPr/>
      </w:pPr>
      <w:r>
        <w:rPr>
          <w:sz w:val="22"/>
        </w:rPr>
        <w:t>X.</w:t>
        <w:tab/>
        <w:t xml:space="preserve">On 4 May 2001, the firm Enagas, S.A. submitted a written pleading, entirely reaffirming its document dated 16 April 2001. Enagas, S.A. stressed that Enron España Energía, S.L., had moved away from what should have been the subject of proceedings concerning a dispute over access to the installations. Furthermore, Enagas, S.A., made a number of observations relative to whether this case had been handled on the correct basis. On the one hand, according to Enagas, S.A., the National Energy Commission had given these proceedings the form of a “dispute over access”, having additionally applied the general regulations set down in Law No. 30/92. In the opinion of Enagas, </w:t>
      </w:r>
      <w:r>
        <w:rPr>
          <w:i/>
          <w:sz w:val="22"/>
        </w:rPr>
        <w:t xml:space="preserve">“by extensively applying the provisions of Law No. 30/92, and in view of the attitude and of the data provided by ENRON, ENAGAS could find itself in a non-defensible position from the procedural point of view. ENAGAS understands that, given its response dated 28 February, ENRON could have turned, as it did here, to the CNE. And that agency, with no formality other than a phase for hearing the Parties, would have had to resolve the dispute. Faced with the ENRON document, however, the CNE sent both parties requests for information, adding the responses to the file, and then, once those responses had been incorporated, opened another phase of hearings”. </w:t>
      </w:r>
      <w:r>
        <w:rPr>
          <w:sz w:val="22"/>
        </w:rPr>
        <w:t>For this reason, Enagas states that it could have found itself in a non-defensible position from a procedural point of view, through being unable to refute the arguments and information that Enron España Energía, S.L. provided, and for this reason expressed its right to examine the file in the event that new information or pleadings were incorporated. Enagas, S.A. stressed that this case was going beyond the subject that naturally falls within its scope and that the disagreement should be resolved by analysing whether the gas system was, as at 29 January 2001, in a position to accommodate fully a request for regasification at Huelva and transportation as far as Arcos de la Frontera over a period of 20 years, commencing in October 2002, and for a daily capacity of 4.82 Mm</w:t>
      </w:r>
      <w:r>
        <w:rPr>
          <w:sz w:val="22"/>
          <w:vertAlign w:val="superscript"/>
        </w:rPr>
        <w:t>3</w:t>
      </w:r>
      <w:r>
        <w:rPr>
          <w:sz w:val="22"/>
        </w:rPr>
        <w:t>(n) / day.</w:t>
      </w:r>
      <w:r>
        <w:br w:type="page"/>
      </w:r>
    </w:p>
    <w:p>
      <w:pPr>
        <w:pStyle w:val="BodyTextIndent3"/>
        <w:rPr/>
      </w:pPr>
      <w:r>
        <w:rPr/>
        <w:t>XI.</w:t>
        <w:tab/>
        <w:t>On 5 May 2001, the firm Enron España Energía, S.L. submitted a written pleading. That firm, in its Pleading One, referred to Enagas not having proven the lack of transportation capacity. In its Pleading Two, it deemed that consideration of the two sub-systems as completely independent was not justified and limited the possibilities for obtaining capacity for the Arcos power station. In its Pleading Three, reference was made to the revision of forecast demand in the West of Haro area, undertaken in February 2001, not being based on a convincing hypothesis and analysis. In its Pleading Four, Enron España Energía, S.L. considered that the priority granted to conventional demand was based on an erroneous premise that was totally lacking legal basis. In its Pleading Five, it refuted the reliability of the conventional market demand forecast carried out by Enagas. S.A. In its Pleading Six, it established that Enagas, S.A. had accepted speculative reservations of capacity that resulted in the blocking of capacity. In its Pleading Seven, it stated that despite the lack of information provided by Enagas, S.A., it was possible to confirm the existence of capacity in the system. In its Pleading Eight, Enron España Energía, S.L. considered that Enagas, S.A. intended to impose conditions on the access requested by Enron that were not viable and were unrealistic. In its Pleading Nine, it stated that in the capacity reservation process, Enagas, S.A., as operator of the transportation facilities in question and as Technical System Administrator, had acted without due transparency. In its Pleading Ten, it considered that in the capacity reservation process, Enagas, S.A., as operator of the transportation facilities in question and as Technical Systems Administrator, had acted without due objectivity. Lastly, in its Pleading Eleven, Enron España Energía, S.L. considered that in the capacity reservation process, Enagas, S.A., as operator of the transportation facilities in question and as Technical Systems Administrator, had acted in a discriminatory manner.</w:t>
      </w:r>
    </w:p>
    <w:p>
      <w:pPr>
        <w:pStyle w:val="BodyTextIndent3"/>
        <w:rPr/>
      </w:pPr>
      <w:r>
        <w:rPr/>
        <w:t>XII.</w:t>
        <w:tab/>
        <w:t>The Board of Directors of the National Energy Commission, upon studying the case, having analysed the written pleadings and arguments of both parties, adopted the following decision at its session on 25 May 2001.</w:t>
      </w:r>
      <w:r>
        <w:br w:type="page"/>
      </w:r>
    </w:p>
    <w:p>
      <w:pPr>
        <w:pStyle w:val="Normal"/>
        <w:tabs>
          <w:tab w:val="clear" w:pos="720"/>
          <w:tab w:val="left" w:pos="990" w:leader="none"/>
        </w:tabs>
        <w:ind w:hanging="990" w:start="990" w:end="0"/>
        <w:jc w:val="center"/>
        <w:rPr>
          <w:b/>
          <w:sz w:val="22"/>
        </w:rPr>
      </w:pPr>
      <w:r>
        <w:rPr>
          <w:b/>
          <w:sz w:val="22"/>
        </w:rPr>
        <w:t>LEGAL GROUNDS</w:t>
      </w:r>
    </w:p>
    <w:p>
      <w:pPr>
        <w:pStyle w:val="Heading3"/>
        <w:rPr/>
      </w:pPr>
      <w:r>
        <w:rPr/>
        <w:t>LEGAL AND PROCEDURAL GROUNDS</w:t>
      </w:r>
    </w:p>
    <w:p>
      <w:pPr>
        <w:pStyle w:val="Normal"/>
        <w:ind w:hanging="709" w:start="709" w:end="0"/>
        <w:rPr>
          <w:b/>
          <w:sz w:val="22"/>
        </w:rPr>
      </w:pPr>
      <w:r>
        <w:rPr>
          <w:b/>
          <w:sz w:val="22"/>
        </w:rPr>
        <w:t>I.</w:t>
        <w:tab/>
        <w:t>Competence of the National Energy Commission to resolve this case</w:t>
      </w:r>
    </w:p>
    <w:p>
      <w:pPr>
        <w:pStyle w:val="Normal"/>
        <w:ind w:hanging="709" w:start="709" w:end="0"/>
        <w:rPr/>
      </w:pPr>
      <w:r>
        <w:rPr>
          <w:sz w:val="22"/>
        </w:rPr>
        <w:tab/>
        <w:t>This decision is pronounced in exercise of the dispute resolution function with respect to disputes relative to access for third parties to transportation and distribution networks according to the powers vested in the National Energy Commission by the Eleventh Additional Provision, 3</w:t>
      </w:r>
      <w:r>
        <w:rPr>
          <w:sz w:val="22"/>
          <w:vertAlign w:val="superscript"/>
        </w:rPr>
        <w:t>rd</w:t>
      </w:r>
      <w:r>
        <w:rPr>
          <w:sz w:val="22"/>
        </w:rPr>
        <w:t>, 13</w:t>
      </w:r>
      <w:r>
        <w:rPr>
          <w:sz w:val="22"/>
          <w:vertAlign w:val="superscript"/>
        </w:rPr>
        <w:t>th</w:t>
      </w:r>
      <w:r>
        <w:rPr>
          <w:sz w:val="22"/>
        </w:rPr>
        <w:t>, of Law No. 34/1998, dated 7 October 1998, relative to the Hydrocarbons Sector. Reference to Arts. 14 and 15 of Royal Decree No. 1339/1999, dated 31 July 1999, is likewise required.</w:t>
      </w:r>
    </w:p>
    <w:p>
      <w:pPr>
        <w:pStyle w:val="Normal"/>
        <w:ind w:hanging="709" w:start="709" w:end="0"/>
        <w:rPr>
          <w:sz w:val="22"/>
        </w:rPr>
      </w:pPr>
      <w:r>
        <w:rPr>
          <w:sz w:val="22"/>
        </w:rPr>
        <w:tab/>
        <w:t>Within the National Energy Commission, it falls to the Board of Directors to approve this decision, in application of the provisions of Art. 19 of Royal Decree No. 1339/1999, dated 31 July 1999, approving the Regulations of this organisation.</w:t>
      </w:r>
    </w:p>
    <w:p>
      <w:pPr>
        <w:pStyle w:val="Normal"/>
        <w:ind w:hanging="709" w:start="709" w:end="0"/>
        <w:rPr>
          <w:b/>
          <w:sz w:val="22"/>
        </w:rPr>
      </w:pPr>
      <w:r>
        <w:rPr>
          <w:b/>
          <w:sz w:val="22"/>
        </w:rPr>
        <w:t>II.</w:t>
        <w:tab/>
        <w:t>Applicable procedure and nature of the decision</w:t>
      </w:r>
    </w:p>
    <w:p>
      <w:pPr>
        <w:pStyle w:val="Normal"/>
        <w:ind w:hanging="709" w:start="709" w:end="0"/>
        <w:rPr/>
      </w:pPr>
      <w:r>
        <w:rPr>
          <w:sz w:val="22"/>
        </w:rPr>
        <w:tab/>
        <w:t>The procedure applicable is that set down in Art. 15 of Royal Decree No. 1339/1999, dated 31 July 1999, under the heading “Formalisation of the Right of Access”, and in regard to that not expressly provided for in that regulatory text, the applicable legislation is Law No. 30/1992, dated 26 November 1992, relative to the Legal Regulations governing the Public Authorities and the Common Administrative Procedure, which applies directly to the National Energy Commission, in accordance with the wording of Art. 2.2 of the same Law No. 30/1992, and of the Eleventh Additional Provision, 1</w:t>
      </w:r>
      <w:r>
        <w:rPr>
          <w:sz w:val="22"/>
          <w:vertAlign w:val="superscript"/>
        </w:rPr>
        <w:t>st</w:t>
      </w:r>
      <w:r>
        <w:rPr>
          <w:sz w:val="22"/>
        </w:rPr>
        <w:t>, of Law No. 34/1998, dated 7 October 1998, relative to the Hydrocarbons sector.</w:t>
      </w:r>
    </w:p>
    <w:p>
      <w:pPr>
        <w:pStyle w:val="Normal"/>
        <w:ind w:hanging="709" w:start="709" w:end="0"/>
        <w:rPr/>
      </w:pPr>
      <w:r>
        <w:rPr>
          <w:sz w:val="22"/>
        </w:rPr>
        <w:tab/>
        <w:t xml:space="preserve">Art. 15, para. 2 of Royal Decree No. 1339/1999 lays down both the period of two months for resolution, and the positive interpretation of silence on the part of the administration, in the following terms: </w:t>
      </w:r>
      <w:r>
        <w:rPr>
          <w:i/>
          <w:sz w:val="22"/>
        </w:rPr>
        <w:t>“The applicant may submit a notice of disagreement to the National Energy Commission which, upon hearing both parties, shall pass a decision within a maximum period of two months. In the absence of an express decision being passed within that period, access shall be understood as being granted.”</w:t>
      </w:r>
    </w:p>
    <w:p>
      <w:pPr>
        <w:pStyle w:val="Normal"/>
        <w:ind w:hanging="709" w:start="709" w:end="0"/>
        <w:rPr>
          <w:sz w:val="22"/>
        </w:rPr>
      </w:pPr>
      <w:r>
        <w:rPr>
          <w:sz w:val="22"/>
        </w:rPr>
        <w:tab/>
        <w:t>Art. 79 of Law No. 30/1992, dated 26 November 1992, grants the interested parties the power to formulate pleadings and provide documents or other information, at any time in proceedings prior to the hearings phase. Likewise, Art. 84 of the same Law shapes and defines the hearings phase, a process that must, without exception, be complied with. For these purposes, once the case has been examined and immediately prior to the proposed decision being drawn up, the file is to be made available to the parties, and within a period of not fewer than ten days and not more than fifteen days, the parties may argue and submit the documents and supporting evidence they deem appropriate.</w:t>
      </w:r>
    </w:p>
    <w:p>
      <w:pPr>
        <w:pStyle w:val="Normal"/>
        <w:ind w:hanging="709" w:start="709" w:end="0"/>
        <w:rPr>
          <w:sz w:val="22"/>
        </w:rPr>
      </w:pPr>
      <w:r>
        <w:rPr>
          <w:sz w:val="22"/>
        </w:rPr>
        <w:tab/>
        <w:t>Therefore, it may be concluded that these dispute proceedings have at all times been in accordance with the principles contained in Law No. 30/1992, dated 26 November 1992.</w:t>
      </w:r>
    </w:p>
    <w:p>
      <w:pPr>
        <w:pStyle w:val="Normal"/>
        <w:ind w:hanging="709" w:start="709" w:end="0"/>
        <w:rPr>
          <w:sz w:val="22"/>
        </w:rPr>
      </w:pPr>
      <w:r>
        <w:rPr>
          <w:sz w:val="22"/>
        </w:rPr>
        <w:tab/>
        <w:t>Without prejudice to the above, the right laid down in Art. 35 a) of Law No. 30/1992, which allows the parties involved in proceedings to ascertain, at any time, the current status of those proceedings and to obtain copies of the documents contained within them, should also be noted.</w:t>
      </w:r>
      <w:r>
        <w:br w:type="page"/>
      </w:r>
    </w:p>
    <w:p>
      <w:pPr>
        <w:pStyle w:val="Normal"/>
        <w:ind w:hanging="709" w:start="709" w:end="0"/>
        <w:rPr/>
      </w:pPr>
      <w:r>
        <w:rPr>
          <w:sz w:val="22"/>
        </w:rPr>
        <w:tab/>
        <w:t xml:space="preserve">In this respect, the </w:t>
      </w:r>
      <w:r>
        <w:rPr>
          <w:b/>
          <w:sz w:val="22"/>
        </w:rPr>
        <w:t>allegation by Enagas</w:t>
      </w:r>
      <w:r>
        <w:rPr>
          <w:sz w:val="22"/>
        </w:rPr>
        <w:t xml:space="preserve">, expressed in its letter dated 4 May, whereby, in its opinion, the application of Art. 15 of Royal Decree No. 1339/1999 and of Law No. 30/92 may give rise to a situation such that </w:t>
      </w:r>
      <w:r>
        <w:rPr>
          <w:i/>
          <w:sz w:val="22"/>
        </w:rPr>
        <w:t>““by extensively applying the provisions of Law No. 30/92, and in view of the attitude and of the data provided by ENRON, ENAGAS could find itself in a non-defensible position from the procedural point of view. ENAGAS understands that, given its response dated 28 February, ENRON could have turned, as it did, to the CNE. And that agency, with no formality other than a phase for hearing the Parties, would have had to resolve the dispute. Faced with the ENRON letter, however, the CNE sent both parties requests for information, adding the responses to the file, and then, once those responses had been incorporated, opened another phase of hearings. The result was that ENAGAS, acting conscientiously and in good faith, provided, in the proper fashion, responses to all the questions raised by the CNE; ENRON, on the other hand, as has been noted, limited itself to providing documentation and information that had nothing to do with the issue of access. Now, afterwards, ENRON has access to a new phase for submission of pleadings in regard to what ENAGAS has provided, while ENAGAS cannot add new information given the valueless nature of the earlier response of ENRON”.</w:t>
      </w:r>
    </w:p>
    <w:p>
      <w:pPr>
        <w:pStyle w:val="Normal"/>
        <w:ind w:hanging="709" w:start="709" w:end="0"/>
        <w:rPr>
          <w:sz w:val="22"/>
        </w:rPr>
      </w:pPr>
      <w:r>
        <w:rPr>
          <w:sz w:val="22"/>
        </w:rPr>
        <w:tab/>
        <w:t>The ENAGAS pleading transcribed above, in which it is suggested that the parties were not dealt with equally from a procedural point of view, due to the fact that, as part of the examination process, specific information was requested from both parties, cannot be accepted, and neither can the resulting situation, also suggested by ENAGAS, that that party was left in a non-defensible position.</w:t>
      </w:r>
    </w:p>
    <w:p>
      <w:pPr>
        <w:pStyle w:val="Normal"/>
        <w:ind w:hanging="709" w:start="709" w:end="0"/>
        <w:rPr>
          <w:sz w:val="22"/>
        </w:rPr>
      </w:pPr>
      <w:r>
        <w:rPr>
          <w:sz w:val="22"/>
        </w:rPr>
        <w:tab/>
        <w:t>The procedure to be followed, fully in line with the Law, was explained to both parties, under the terms required by Art. 42.4 of Law No. 30/1992, as reflected in Recital II of this Decision. If ENAGAS believed that the procedure was inadequate, it could have argued that at that time, or at any time afterwards.</w:t>
      </w:r>
    </w:p>
    <w:p>
      <w:pPr>
        <w:pStyle w:val="Normal"/>
        <w:ind w:hanging="709" w:start="709" w:end="0"/>
        <w:rPr>
          <w:sz w:val="22"/>
        </w:rPr>
      </w:pPr>
      <w:r>
        <w:rPr>
          <w:sz w:val="22"/>
        </w:rPr>
        <w:tab/>
        <w:t>The powers of the examining authority to obtain all the data and elements of fact by virtue of which the decision should be pronounced, are provided for in Art. 78 of Law No. 30/1992.</w:t>
      </w:r>
    </w:p>
    <w:p>
      <w:pPr>
        <w:pStyle w:val="Normal"/>
        <w:ind w:hanging="709" w:start="709" w:end="0"/>
        <w:rPr/>
      </w:pPr>
      <w:r>
        <w:rPr>
          <w:sz w:val="22"/>
        </w:rPr>
        <w:tab/>
        <w:t>The ENAGAS claim that the National Energy Commission might have resolved the matter without any additional examination, solely on the basis of the initial documentation provided by the parties, and “</w:t>
      </w:r>
      <w:r>
        <w:rPr>
          <w:i/>
          <w:sz w:val="22"/>
        </w:rPr>
        <w:t>with no formality other than a phase for hearing the Parties</w:t>
      </w:r>
      <w:r>
        <w:rPr>
          <w:sz w:val="22"/>
        </w:rPr>
        <w:t>”, would have entailed dispensing with the legal examination procedure needed in order to fully understand the actual situation on the basis of which the Commission was required to rule.</w:t>
      </w:r>
    </w:p>
    <w:p>
      <w:pPr>
        <w:pStyle w:val="Normal"/>
        <w:ind w:hanging="709" w:start="709" w:end="0"/>
        <w:rPr>
          <w:sz w:val="22"/>
        </w:rPr>
      </w:pPr>
      <w:r>
        <w:rPr>
          <w:sz w:val="22"/>
        </w:rPr>
        <w:tab/>
        <w:t>Each and every one of the documents provided by both parties was incorporated into the file, and made available to both parties, once the examination was completed, during the hearings and pleadings procedure set down by Art. 84 of the above-mentioned Law No. 30/1992. In fact, all documents provided by Enron were disclosed to Enagas from 19 April, as, in order to facilitate the hearings and pleadings procedure, a complete copy of the file was sent to both parties, without prejudice to their right to examine the original file at the offices of this organisation.</w:t>
      </w:r>
    </w:p>
    <w:p>
      <w:pPr>
        <w:pStyle w:val="Normal"/>
        <w:ind w:hanging="709" w:start="709" w:end="0"/>
        <w:rPr>
          <w:sz w:val="22"/>
        </w:rPr>
      </w:pPr>
      <w:r>
        <w:rPr>
          <w:sz w:val="22"/>
        </w:rPr>
        <w:tab/>
        <w:t>By way of clarification, the strict equality between the parties in terms of procedure was also maintained with respect to the extension of the period for hearings and pleadings requested by one of them, as noted in Recital IX of this Decision.</w:t>
      </w:r>
    </w:p>
    <w:p>
      <w:pPr>
        <w:pStyle w:val="Normal"/>
        <w:ind w:hanging="709" w:start="709" w:end="0"/>
        <w:rPr>
          <w:sz w:val="22"/>
        </w:rPr>
      </w:pPr>
      <w:r>
        <w:rPr>
          <w:sz w:val="22"/>
        </w:rPr>
        <w:tab/>
        <w:t>There is no room in the administrative proceedings, in any case, for a pleadings procedure subsequent to the common procedure envisaged in Art. 84 of Law No. 30/1992, which was available to both Enron and Enagas, under conditions of complete equality. Neither Enron nor Enagas has had the opportunity to counterplead against the statements of the other party.</w:t>
      </w:r>
      <w:r>
        <w:br w:type="page"/>
      </w:r>
    </w:p>
    <w:p>
      <w:pPr>
        <w:pStyle w:val="Normal"/>
        <w:ind w:hanging="709" w:start="709" w:end="0"/>
        <w:rPr>
          <w:sz w:val="22"/>
        </w:rPr>
      </w:pPr>
      <w:r>
        <w:rPr>
          <w:sz w:val="22"/>
        </w:rPr>
        <w:tab/>
        <w:t>There is, therefore, no inequality in terms of procedure and neither party is in a non-defensible position. It is a separate question as to whether the position of the network operator is different, with respect to that of the party requesting access, as a consequence of the nature of the right of access in the Law on Hydrocarbons referred to earlier, and which provides that the burden of proof falls on the operator of the networks.</w:t>
      </w:r>
    </w:p>
    <w:p>
      <w:pPr>
        <w:pStyle w:val="Normal"/>
        <w:ind w:hanging="709" w:start="709" w:end="0"/>
        <w:rPr/>
      </w:pPr>
      <w:r>
        <w:rPr>
          <w:sz w:val="22"/>
        </w:rPr>
        <w:tab/>
        <w:t>Lastly, it should be noted that the decision of the Board of Directors issued in these proceedings does not preclude recourse to further administrative action, and an appeal may be lodged with the Minister for the Economy, in accordance with the provisions of the Third Additional Provision, 5</w:t>
      </w:r>
      <w:r>
        <w:rPr>
          <w:sz w:val="22"/>
          <w:vertAlign w:val="superscript"/>
        </w:rPr>
        <w:t>th</w:t>
      </w:r>
      <w:r>
        <w:rPr>
          <w:sz w:val="22"/>
        </w:rPr>
        <w:t>, of Law No. 34/1998, dated 7 October 1998, relative to the Hydrocarbons Sector and in accordance with the provisions of Art. 4 of Royal Decree No. 557/2000, dated 27 April 2000, according to which the National Energy Commission falls under the ambit of the Ministry for the Economy.</w:t>
      </w:r>
      <w:r>
        <w:br w:type="page"/>
      </w:r>
    </w:p>
    <w:p>
      <w:pPr>
        <w:pStyle w:val="Normal"/>
        <w:tabs>
          <w:tab w:val="clear" w:pos="720"/>
          <w:tab w:val="left" w:pos="990" w:leader="none"/>
        </w:tabs>
        <w:ind w:hanging="990" w:start="990" w:end="0"/>
        <w:jc w:val="center"/>
        <w:rPr>
          <w:b/>
          <w:sz w:val="22"/>
        </w:rPr>
      </w:pPr>
      <w:r>
        <w:rPr>
          <w:b/>
          <w:sz w:val="22"/>
        </w:rPr>
        <w:t>GROUNDS FOR THE DECISION ADOPTED</w:t>
      </w:r>
    </w:p>
    <w:p>
      <w:pPr>
        <w:pStyle w:val="Normal"/>
        <w:tabs>
          <w:tab w:val="clear" w:pos="720"/>
          <w:tab w:val="left" w:pos="709" w:leader="none"/>
        </w:tabs>
        <w:ind w:hanging="709" w:start="709" w:end="0"/>
        <w:rPr>
          <w:b/>
          <w:sz w:val="22"/>
        </w:rPr>
      </w:pPr>
      <w:r>
        <w:rPr>
          <w:b/>
          <w:sz w:val="22"/>
        </w:rPr>
        <w:t>III.</w:t>
        <w:tab/>
        <w:t>Terms of the dispute and scope of the decision of the National Energy Commission</w:t>
      </w:r>
    </w:p>
    <w:p>
      <w:pPr>
        <w:pStyle w:val="Normal"/>
        <w:tabs>
          <w:tab w:val="clear" w:pos="720"/>
          <w:tab w:val="left" w:pos="709" w:leader="none"/>
        </w:tabs>
        <w:ind w:hanging="709" w:start="709" w:end="0"/>
        <w:rPr>
          <w:sz w:val="22"/>
        </w:rPr>
      </w:pPr>
      <w:r>
        <w:rPr>
          <w:sz w:val="22"/>
        </w:rPr>
        <w:tab/>
        <w:t>It should be stated firstly that the legal provisions relative to access to networks, and to the intervention of this Body in the resolution of disputes arising relative to the exercising of the right of access, refer hypothetically to an adequate gas system, in which the transportation facilities constructed and in use are sufficient to cover the consumption demand.</w:t>
      </w:r>
    </w:p>
    <w:p>
      <w:pPr>
        <w:pStyle w:val="Normal"/>
        <w:tabs>
          <w:tab w:val="clear" w:pos="720"/>
          <w:tab w:val="left" w:pos="709" w:leader="none"/>
        </w:tabs>
        <w:ind w:hanging="709" w:start="709" w:end="0"/>
        <w:rPr>
          <w:sz w:val="22"/>
        </w:rPr>
      </w:pPr>
      <w:r>
        <w:rPr>
          <w:sz w:val="22"/>
        </w:rPr>
        <w:tab/>
        <w:t>Disputes over the right of access are not initially seen as a mechanism for dividing up the capacity of future installations within the gas system, but rather as a mechanism for guaranteeing access to existing installations.</w:t>
      </w:r>
    </w:p>
    <w:p>
      <w:pPr>
        <w:pStyle w:val="Normal"/>
        <w:tabs>
          <w:tab w:val="clear" w:pos="720"/>
          <w:tab w:val="left" w:pos="709" w:leader="none"/>
        </w:tabs>
        <w:ind w:hanging="709" w:start="709" w:end="0"/>
        <w:rPr>
          <w:sz w:val="22"/>
        </w:rPr>
      </w:pPr>
      <w:r>
        <w:rPr>
          <w:sz w:val="22"/>
        </w:rPr>
        <w:tab/>
        <w:t>Nevertheless, the current situation in the gas system in Spain presents an imbalance between the existing infrastructures and short-term consumption demand, with a significant part of this demand being formed by new combined cycle electric power plants, for which the entry into service in the short and medium term is necessary in order to provide a sufficient guarantee, in its turn, of the generation capacity of the Spanish electricity system.</w:t>
      </w:r>
    </w:p>
    <w:p>
      <w:pPr>
        <w:pStyle w:val="Normal"/>
        <w:tabs>
          <w:tab w:val="clear" w:pos="720"/>
          <w:tab w:val="left" w:pos="709" w:leader="none"/>
        </w:tabs>
        <w:ind w:hanging="709" w:start="709" w:end="0"/>
        <w:rPr>
          <w:sz w:val="22"/>
        </w:rPr>
      </w:pPr>
      <w:r>
        <w:rPr>
          <w:sz w:val="22"/>
        </w:rPr>
        <w:tab/>
        <w:t>The above-mentioned circumstance has the inevitable result that, both in requests for access to the transportation system that are resolved without dispute between the marketers of gas or their clients and the operators of the transportation facilities, and in those requests that derive from a dispute over access before this Commission, the subject thereof is the future capacity of the gas system, and not the current capacity.</w:t>
      </w:r>
    </w:p>
    <w:p>
      <w:pPr>
        <w:pStyle w:val="Normal"/>
        <w:tabs>
          <w:tab w:val="clear" w:pos="720"/>
          <w:tab w:val="left" w:pos="709" w:leader="none"/>
        </w:tabs>
        <w:ind w:hanging="709" w:start="709" w:end="0"/>
        <w:rPr>
          <w:sz w:val="22"/>
        </w:rPr>
      </w:pPr>
      <w:r>
        <w:rPr>
          <w:sz w:val="22"/>
        </w:rPr>
        <w:tab/>
        <w:t>Within the frame of reference described, the intervention of the National Energy Commission in the resolution of a dispute brought before that body will inevitably have a bearing on the division of this future capacity.</w:t>
      </w:r>
    </w:p>
    <w:p>
      <w:pPr>
        <w:pStyle w:val="Normal"/>
        <w:tabs>
          <w:tab w:val="clear" w:pos="720"/>
          <w:tab w:val="left" w:pos="709" w:leader="none"/>
        </w:tabs>
        <w:ind w:hanging="709" w:start="709" w:end="0"/>
        <w:rPr>
          <w:sz w:val="22"/>
        </w:rPr>
      </w:pPr>
      <w:r>
        <w:rPr>
          <w:sz w:val="22"/>
        </w:rPr>
        <w:tab/>
        <w:t>If one considers that the framework of the decision of the National Energy Commission should remain limited to a pronouncement on the capacity of the existing installations, this would not avoid the fact that, via agreements between the operators of the installations and other applicants, the future capacity of the system was being reserved, and the substance of the right of access of parties who were not able to enter into agreements was being stripped.</w:t>
      </w:r>
    </w:p>
    <w:p>
      <w:pPr>
        <w:pStyle w:val="Normal"/>
        <w:tabs>
          <w:tab w:val="clear" w:pos="720"/>
          <w:tab w:val="left" w:pos="709" w:leader="none"/>
        </w:tabs>
        <w:ind w:hanging="709" w:start="709" w:end="0"/>
        <w:rPr>
          <w:sz w:val="22"/>
        </w:rPr>
      </w:pPr>
      <w:r>
        <w:rPr>
          <w:sz w:val="22"/>
        </w:rPr>
        <w:tab/>
        <w:t>On the other hand, if one considers that the National Energy Commission may, in this dispute over access, pass decisions that entail the reserving of capacity relative to installations that do not yet exist, we are only introducing into that process a guarantee of the intervention of the regulatory body, whose essential and founding purpose is firstly to ensure effective competition in the energy markets, through the objectivity and transparency of their operation.</w:t>
      </w:r>
    </w:p>
    <w:p>
      <w:pPr>
        <w:pStyle w:val="Normal"/>
        <w:tabs>
          <w:tab w:val="clear" w:pos="720"/>
          <w:tab w:val="left" w:pos="709" w:leader="none"/>
        </w:tabs>
        <w:ind w:hanging="709" w:start="709" w:end="0"/>
        <w:rPr/>
      </w:pPr>
      <w:r>
        <w:rPr>
          <w:sz w:val="22"/>
        </w:rPr>
        <w:tab/>
        <w:t xml:space="preserve">For this reason, </w:t>
      </w:r>
      <w:r>
        <w:rPr>
          <w:b/>
          <w:sz w:val="22"/>
        </w:rPr>
        <w:t>this decision examines the right of access relative to a gas system that includes installations not yet in existence, and with a non-immediate time-frame.</w:t>
      </w:r>
      <w:r>
        <w:rPr>
          <w:sz w:val="22"/>
        </w:rPr>
        <w:t xml:space="preserve"> This circumstance lies in the very nature of the gas system, in which the decisions of the Technical System Operator entail definite future repercussions.</w:t>
      </w:r>
    </w:p>
    <w:p>
      <w:pPr>
        <w:pStyle w:val="Normal"/>
        <w:tabs>
          <w:tab w:val="clear" w:pos="720"/>
          <w:tab w:val="left" w:pos="709" w:leader="none"/>
        </w:tabs>
        <w:ind w:hanging="709" w:start="709" w:end="0"/>
        <w:rPr>
          <w:sz w:val="22"/>
        </w:rPr>
      </w:pPr>
      <w:r>
        <w:rPr>
          <w:sz w:val="22"/>
        </w:rPr>
        <w:tab/>
        <w:t>On the other hand, Enron España Energía, S.L., has put forward its formal request for access and reservation of capacity in the Enagas, S.A. natural gas transportation system. This claim is exercised from the position of “marketer” held by Enron España Energía, S.L., with the purpose of exercising the right of access to gas installations for supply to the Arcos de la Frontera 1200 MW combined cycle power plant as from 1 October 2002 for a period of 20 years.</w:t>
      </w:r>
      <w:r>
        <w:br w:type="page"/>
      </w:r>
    </w:p>
    <w:p>
      <w:pPr>
        <w:pStyle w:val="Normal"/>
        <w:tabs>
          <w:tab w:val="clear" w:pos="720"/>
          <w:tab w:val="left" w:pos="709" w:leader="none"/>
        </w:tabs>
        <w:ind w:hanging="709" w:start="709" w:end="0"/>
        <w:rPr>
          <w:sz w:val="22"/>
        </w:rPr>
      </w:pPr>
      <w:r>
        <w:rPr>
          <w:sz w:val="22"/>
        </w:rPr>
        <w:tab/>
        <w:t xml:space="preserve">The deferment by Enagas, S.A. of the access requested by Enron España Energía, S.L., as noted by the latter in the document initiating the case, and which has not been refuted by Enagas, S.A., offers the reason that </w:t>
      </w:r>
      <w:r>
        <w:rPr>
          <w:i/>
          <w:sz w:val="22"/>
        </w:rPr>
        <w:t>“due essentially to the significant increase in domestic, commercial and industrial demand in recent times, it is necessary at this time to undertake the creation of new infrastructures that provide the gas system with the regasification and transportation capacity necessary in order to be able to accommodate the expected demand in the medium and long term.”</w:t>
      </w:r>
    </w:p>
    <w:p>
      <w:pPr>
        <w:pStyle w:val="Normal"/>
        <w:tabs>
          <w:tab w:val="clear" w:pos="720"/>
          <w:tab w:val="left" w:pos="709" w:leader="none"/>
        </w:tabs>
        <w:ind w:hanging="709" w:start="709" w:end="0"/>
        <w:rPr>
          <w:sz w:val="22"/>
        </w:rPr>
      </w:pPr>
      <w:r>
        <w:rPr>
          <w:sz w:val="22"/>
        </w:rPr>
        <w:tab/>
        <w:t>It is therefore necessary, in order to resolve the dispute, and in view of the reasoning of both parties, to analyse the legal form of the right of access by third parties according to the Law on Hydrocarbons, set down for access to the transportation system in Art. 70 thereof. This is necessary in order to conclude, once and for all, whether there are valid grounds for the imposing of conditions on the access, or whether, on the other hand, there are none and, in the former case, whether, the deferment of access being accepted, this Decision should include judgement on other questions or, in the opposite case, it should be limited to accepting the imposition of conditions on access with no further judgements.</w:t>
      </w:r>
    </w:p>
    <w:p>
      <w:pPr>
        <w:pStyle w:val="Normal"/>
        <w:tabs>
          <w:tab w:val="clear" w:pos="720"/>
          <w:tab w:val="left" w:pos="709" w:leader="none"/>
        </w:tabs>
        <w:ind w:hanging="709" w:start="709" w:end="0"/>
        <w:rPr>
          <w:b/>
          <w:sz w:val="22"/>
        </w:rPr>
      </w:pPr>
      <w:r>
        <w:rPr>
          <w:b/>
          <w:sz w:val="22"/>
        </w:rPr>
        <w:t>IV.</w:t>
        <w:tab/>
        <w:t>On the right of access in the legislation</w:t>
      </w:r>
    </w:p>
    <w:p>
      <w:pPr>
        <w:pStyle w:val="Normal"/>
        <w:tabs>
          <w:tab w:val="clear" w:pos="720"/>
          <w:tab w:val="left" w:pos="709" w:leader="none"/>
        </w:tabs>
        <w:ind w:hanging="709" w:start="709" w:end="0"/>
        <w:rPr>
          <w:sz w:val="22"/>
        </w:rPr>
      </w:pPr>
      <w:r>
        <w:rPr>
          <w:sz w:val="22"/>
        </w:rPr>
        <w:tab/>
        <w:t>Law No. 34/1998, dated 7 October 1998, relative to the Hydrocarbons sector, lays down the legislative framework of this right. The legal form of the right of access in the Law derives from the provisions contained in Art. 60.4 and, since this case relates to access to transportation networks, Art. 70 of the Law on Hydrocarbons:</w:t>
      </w:r>
    </w:p>
    <w:p>
      <w:pPr>
        <w:pStyle w:val="Normal"/>
        <w:tabs>
          <w:tab w:val="clear" w:pos="720"/>
          <w:tab w:val="left" w:pos="709" w:leader="none"/>
        </w:tabs>
        <w:ind w:hanging="709" w:start="709" w:end="0"/>
        <w:rPr/>
      </w:pPr>
      <w:r>
        <w:rPr>
          <w:b/>
          <w:sz w:val="22"/>
        </w:rPr>
        <w:t>a)</w:t>
      </w:r>
      <w:r>
        <w:rPr>
          <w:sz w:val="22"/>
        </w:rPr>
        <w:tab/>
        <w:t xml:space="preserve">In accordance with the text of Art. 60.4, </w:t>
      </w:r>
      <w:r>
        <w:rPr>
          <w:b/>
          <w:sz w:val="22"/>
        </w:rPr>
        <w:t>“the access of third parties to the basic network and to transportation and distribution installations under the technical and economic conditions set down in this Law is guaranteed’.</w:t>
      </w:r>
    </w:p>
    <w:p>
      <w:pPr>
        <w:pStyle w:val="Normal"/>
        <w:tabs>
          <w:tab w:val="clear" w:pos="720"/>
          <w:tab w:val="left" w:pos="709" w:leader="none"/>
        </w:tabs>
        <w:ind w:hanging="709" w:start="709" w:end="0"/>
        <w:rPr/>
      </w:pPr>
      <w:r>
        <w:rPr>
          <w:b/>
          <w:sz w:val="22"/>
        </w:rPr>
        <w:t>b)</w:t>
      </w:r>
      <w:r>
        <w:rPr>
          <w:sz w:val="22"/>
        </w:rPr>
        <w:tab/>
        <w:t>In a manner consistent with the above-mentioned legal form, para. 1 of Art. 70 defines, in the broadest terms, those parties who hold the right of access; para. 2 sets down that the conditions are to be governed by regulations; and paras. 3 and 4 define the material limits thereof:</w:t>
      </w:r>
    </w:p>
    <w:p>
      <w:pPr>
        <w:pStyle w:val="Normal"/>
        <w:tabs>
          <w:tab w:val="clear" w:pos="720"/>
          <w:tab w:val="left" w:pos="709" w:leader="none"/>
        </w:tabs>
        <w:ind w:hanging="1440" w:start="1440" w:end="0"/>
        <w:rPr/>
      </w:pPr>
      <w:r>
        <w:rPr>
          <w:sz w:val="22"/>
        </w:rPr>
        <w:tab/>
        <w:tab/>
      </w:r>
      <w:r>
        <w:rPr>
          <w:b/>
          <w:sz w:val="22"/>
        </w:rPr>
        <w:t>“1. The operators of the installations are to permit the use thereof by eligible clients, marketers and transportation operators who comply with the conditions required, via the individual or joint contracting of transportation, regasification and storage services, on the basis of principles of non-discrimination, transparency and objectivity. The price for the use of the transportation networks is to be determined using the set charges approved by the regulations.</w:t>
      </w:r>
    </w:p>
    <w:p>
      <w:pPr>
        <w:pStyle w:val="Normal"/>
        <w:tabs>
          <w:tab w:val="clear" w:pos="720"/>
          <w:tab w:val="left" w:pos="709" w:leader="none"/>
        </w:tabs>
        <w:ind w:hanging="1440" w:start="1440" w:end="0"/>
        <w:rPr/>
      </w:pPr>
      <w:r>
        <w:rPr>
          <w:sz w:val="22"/>
        </w:rPr>
        <w:tab/>
        <w:tab/>
      </w:r>
      <w:r>
        <w:rPr>
          <w:b/>
          <w:sz w:val="22"/>
        </w:rPr>
        <w:t>2. The conditions for access by third parties to the installations are to be governed by the regulations, as are the rights and obligations of the operators of installations relative to access by third parties, and those of eligible clients, marketers and transportation operators. In addition, the minimum content of contracts is to be defined.</w:t>
      </w:r>
    </w:p>
    <w:p>
      <w:pPr>
        <w:pStyle w:val="Normal"/>
        <w:tabs>
          <w:tab w:val="clear" w:pos="720"/>
          <w:tab w:val="left" w:pos="709" w:leader="none"/>
        </w:tabs>
        <w:ind w:hanging="1440" w:start="1440" w:end="0"/>
        <w:rPr/>
      </w:pPr>
      <w:r>
        <w:rPr>
          <w:sz w:val="22"/>
        </w:rPr>
        <w:tab/>
        <w:tab/>
      </w:r>
      <w:r>
        <w:rPr>
          <w:b/>
          <w:sz w:val="22"/>
        </w:rPr>
        <w:t>3. Access to the network may be denied in the event that there is insufficient capacity or when access to the network could prevent compliance with supply obligations that may be imposed, or due to serious economic and financial difficulties that may arise from the performance of compulsory purchase contracts, under the conditions and according to the procedure set down by the regulations, in accordance with the principles set down in the standardised Community legislation available.</w:t>
      </w:r>
      <w:r>
        <w:br w:type="page"/>
      </w:r>
    </w:p>
    <w:p>
      <w:pPr>
        <w:pStyle w:val="Normal"/>
        <w:tabs>
          <w:tab w:val="clear" w:pos="720"/>
          <w:tab w:val="left" w:pos="1418" w:leader="none"/>
        </w:tabs>
        <w:ind w:hanging="1440" w:start="1440" w:end="0"/>
        <w:rPr/>
      </w:pPr>
      <w:r>
        <w:rPr>
          <w:sz w:val="22"/>
        </w:rPr>
        <w:tab/>
      </w:r>
      <w:r>
        <w:rPr>
          <w:b/>
          <w:sz w:val="22"/>
        </w:rPr>
        <w:t>4. Access to the network may also be denied, upon agreement of the National Energy Commission, when the company supplying the gas, directly or via agreements with other supply companies, or companies with which any of these are linked, is based in a country in which analogous rights are not recognised and if it is considered that this may result in a change in the principle of reciprocity for the companies to which access is requested, and this without prejudice to the criteria to be followed relative to companies in member states of the European Union in accordance with the standardised legislation in this area established thereby.”</w:t>
      </w:r>
    </w:p>
    <w:p>
      <w:pPr>
        <w:pStyle w:val="Normal"/>
        <w:tabs>
          <w:tab w:val="clear" w:pos="720"/>
          <w:tab w:val="left" w:pos="709" w:leader="none"/>
        </w:tabs>
        <w:ind w:hanging="709" w:start="709" w:end="0"/>
        <w:rPr>
          <w:sz w:val="22"/>
        </w:rPr>
      </w:pPr>
      <w:r>
        <w:rPr>
          <w:sz w:val="22"/>
        </w:rPr>
        <w:tab/>
        <w:t>In the case we are dealing with here, Enagas, S.A., as owner of the installations, must allow access, in accordance with the regulations, to Enron España Energía, S.L., as a company marketing gas and authorised and registered in the Administrative Register of Distributors, Marketers and Eligible Consumers, in accordance with Art. 2 of Royal Decree-Law No. 15/1999, dated 1 October 1999, approving measures for the liberalisation, structural reform and increasing of competition in the hydrocarbons sector.</w:t>
      </w:r>
    </w:p>
    <w:p>
      <w:pPr>
        <w:pStyle w:val="Normal"/>
        <w:tabs>
          <w:tab w:val="clear" w:pos="720"/>
          <w:tab w:val="left" w:pos="709" w:leader="none"/>
        </w:tabs>
        <w:ind w:hanging="709" w:start="709" w:end="0"/>
        <w:rPr>
          <w:sz w:val="22"/>
        </w:rPr>
      </w:pPr>
      <w:r>
        <w:rPr>
          <w:sz w:val="22"/>
        </w:rPr>
        <w:tab/>
        <w:t>In accordance with these precepts, a possible reason for the denial of access, identified and provided for by the Law, consists in the non-existence of sufficient capacity in the transportation network.</w:t>
      </w:r>
    </w:p>
    <w:p>
      <w:pPr>
        <w:pStyle w:val="Normal"/>
        <w:tabs>
          <w:tab w:val="clear" w:pos="720"/>
          <w:tab w:val="left" w:pos="709" w:leader="none"/>
        </w:tabs>
        <w:ind w:hanging="709" w:start="709" w:end="0"/>
        <w:rPr>
          <w:sz w:val="22"/>
        </w:rPr>
      </w:pPr>
      <w:r>
        <w:rPr>
          <w:sz w:val="22"/>
        </w:rPr>
        <w:tab/>
        <w:t>Moreover, the formalising of the right of access is regulated by Art. 15.1 of Royal Decree No. 1339/1999, dated 31 July 1999, approving the Regulations governing the National Energy Commission:</w:t>
      </w:r>
    </w:p>
    <w:p>
      <w:pPr>
        <w:pStyle w:val="Normal"/>
        <w:ind w:hanging="990" w:start="1620" w:end="0"/>
        <w:rPr/>
      </w:pPr>
      <w:r>
        <w:rPr>
          <w:sz w:val="22"/>
        </w:rPr>
        <w:tab/>
      </w:r>
      <w:r>
        <w:rPr>
          <w:b/>
          <w:sz w:val="22"/>
        </w:rPr>
        <w:t>“Parties with the right of access are to present a formal request to the operators of installations in respect of which they wish to exercise such right. In the event that there exists one of the reasons for denial of access to third parties included within the Law on the Electricity Sector or within the Law on the Hydrocarbons Sector, the operators of the installations are to notify the National Energy Commission and the applicant of their negative response, providing reasons therefor, within a maximum period of one month from the date of the formal request for access.”</w:t>
      </w:r>
    </w:p>
    <w:p>
      <w:pPr>
        <w:pStyle w:val="Normal"/>
        <w:tabs>
          <w:tab w:val="clear" w:pos="720"/>
          <w:tab w:val="left" w:pos="709" w:leader="none"/>
        </w:tabs>
        <w:ind w:hanging="709" w:start="709" w:end="0"/>
        <w:rPr>
          <w:sz w:val="22"/>
        </w:rPr>
      </w:pPr>
      <w:r>
        <w:rPr>
          <w:sz w:val="22"/>
        </w:rPr>
        <w:tab/>
        <w:t>This provision therefore contains the requirement that grounds exist for the denial, with this entailing the obligation of the operator of the installation to provide explicit information relative to the reasons or grounds for the refusal.</w:t>
      </w:r>
    </w:p>
    <w:p>
      <w:pPr>
        <w:pStyle w:val="Normal"/>
        <w:tabs>
          <w:tab w:val="clear" w:pos="720"/>
          <w:tab w:val="left" w:pos="709" w:leader="none"/>
        </w:tabs>
        <w:ind w:hanging="709" w:start="709" w:end="0"/>
        <w:rPr>
          <w:b/>
          <w:sz w:val="22"/>
        </w:rPr>
      </w:pPr>
      <w:r>
        <w:rPr>
          <w:b/>
          <w:sz w:val="22"/>
        </w:rPr>
        <w:t>V.</w:t>
        <w:tab/>
        <w:t>On the absence of specific legislation</w:t>
      </w:r>
    </w:p>
    <w:p>
      <w:pPr>
        <w:pStyle w:val="Normal"/>
        <w:tabs>
          <w:tab w:val="clear" w:pos="720"/>
          <w:tab w:val="left" w:pos="709" w:leader="none"/>
        </w:tabs>
        <w:ind w:hanging="709" w:start="709" w:end="0"/>
        <w:rPr>
          <w:sz w:val="22"/>
        </w:rPr>
      </w:pPr>
      <w:r>
        <w:rPr>
          <w:sz w:val="22"/>
        </w:rPr>
        <w:tab/>
        <w:t>The regulatory changes imposed by the Law on Hydrocarbons have not yet been realised, since a portion of the changes were in the approval process during the period of evolution and resolution of this dispute. This is the case with the draft Royal Decree regulating access by third parties to gas network installations and laying down an integrated economic system for the natural gas sector.</w:t>
      </w:r>
    </w:p>
    <w:p>
      <w:pPr>
        <w:pStyle w:val="Normal"/>
        <w:tabs>
          <w:tab w:val="clear" w:pos="720"/>
          <w:tab w:val="left" w:pos="709" w:leader="none"/>
        </w:tabs>
        <w:ind w:hanging="709" w:start="709" w:end="0"/>
        <w:rPr>
          <w:sz w:val="22"/>
        </w:rPr>
      </w:pPr>
      <w:r>
        <w:rPr>
          <w:sz w:val="22"/>
        </w:rPr>
        <w:tab/>
        <w:t>Precisely one of the problems that may have been the origin both of this dispute and, in general, of relationships between new gas marketing companies and the Technical System Operator, is the current lack of regulations.</w:t>
      </w:r>
      <w:r>
        <w:br w:type="page"/>
      </w:r>
    </w:p>
    <w:p>
      <w:pPr>
        <w:pStyle w:val="Normal"/>
        <w:tabs>
          <w:tab w:val="clear" w:pos="720"/>
          <w:tab w:val="left" w:pos="709" w:leader="none"/>
        </w:tabs>
        <w:ind w:hanging="709" w:start="709" w:end="0"/>
        <w:rPr/>
      </w:pPr>
      <w:r>
        <w:rPr>
          <w:sz w:val="22"/>
        </w:rPr>
        <w:tab/>
        <w:t xml:space="preserve">The non-existence of adequate legislation has brought in an element of confusion for all the players involved. In fact, the regulations relative to the formalising of the right of access are set down in Art. 15 of Royal Decree No. 1339/1999, dated 31 July 1999, approving the Regulations governing the National Energy Commission, and regulate solely the submission of a </w:t>
      </w:r>
      <w:r>
        <w:rPr>
          <w:b/>
          <w:sz w:val="22"/>
        </w:rPr>
        <w:t>formal request</w:t>
      </w:r>
      <w:r>
        <w:rPr>
          <w:sz w:val="22"/>
        </w:rPr>
        <w:t xml:space="preserve"> to the operators of the gas installations, </w:t>
      </w:r>
      <w:r>
        <w:rPr>
          <w:b/>
          <w:sz w:val="22"/>
        </w:rPr>
        <w:t>without specifying how this should be done, what it should contain, how it should be formalised, for how long it should remain in effect, what undertakings are required, how it is to be submitted, etc.</w:t>
      </w:r>
      <w:r>
        <w:rPr>
          <w:sz w:val="22"/>
        </w:rPr>
        <w:t xml:space="preserve"> For these reasons, even accepting a criterion that is not made explicit in legislation, but which is implicitly accepted by the parties involved in the industry, such as the chronological order in the allocation of capacity, there is, due to the absence of legislation,</w:t>
      </w:r>
      <w:r>
        <w:rPr>
          <w:b/>
          <w:sz w:val="22"/>
        </w:rPr>
        <w:t xml:space="preserve"> a significant lack of definition and precision in terms of the formalising of the right of access.</w:t>
      </w:r>
    </w:p>
    <w:p>
      <w:pPr>
        <w:pStyle w:val="Normal"/>
        <w:tabs>
          <w:tab w:val="clear" w:pos="720"/>
          <w:tab w:val="left" w:pos="709" w:leader="none"/>
        </w:tabs>
        <w:ind w:hanging="709" w:start="709" w:end="0"/>
        <w:rPr>
          <w:sz w:val="22"/>
        </w:rPr>
      </w:pPr>
      <w:r>
        <w:rPr>
          <w:sz w:val="22"/>
        </w:rPr>
        <w:tab/>
        <w:t>In this sense, the regulations that implement the access should set down a period for the formalising of the access contract, since once a request for access receives an affirmative response, reservation of capacity cannot be maintained indefinitely in favour of a marketer without the formalisation of the access contract, which would thus commit the marketer to the payment of the economic recompense corresponding to the services covered by the contract and the owner of the installation to the provision of its services.</w:t>
      </w:r>
    </w:p>
    <w:p>
      <w:pPr>
        <w:pStyle w:val="Normal"/>
        <w:tabs>
          <w:tab w:val="clear" w:pos="720"/>
          <w:tab w:val="left" w:pos="709" w:leader="none"/>
        </w:tabs>
        <w:ind w:hanging="709" w:start="709" w:end="0"/>
        <w:rPr>
          <w:sz w:val="22"/>
        </w:rPr>
      </w:pPr>
      <w:r>
        <w:rPr>
          <w:sz w:val="22"/>
        </w:rPr>
        <w:tab/>
        <w:t>Furthermore, Law No. 34/1998 opted for a model for regulating access with regulated maximum tariffs and access contracts with regulated minimum content, which allowed some room for negotiation.</w:t>
      </w:r>
    </w:p>
    <w:p>
      <w:pPr>
        <w:pStyle w:val="Normal"/>
        <w:tabs>
          <w:tab w:val="clear" w:pos="720"/>
          <w:tab w:val="left" w:pos="709" w:leader="none"/>
        </w:tabs>
        <w:ind w:hanging="709" w:start="709" w:end="0"/>
        <w:rPr>
          <w:sz w:val="22"/>
        </w:rPr>
      </w:pPr>
      <w:r>
        <w:rPr>
          <w:sz w:val="22"/>
        </w:rPr>
        <w:tab/>
        <w:t>In the practical application of this contracting model in Spain, problems have been detected in connection with a lack of information and transparency deriving from the non-existence of standard or specimen access contracts. This causes delays in the signing of contracts, which may be attributed to the negotiation of the conditions of the contracts between the marketers and the operators of the installations.</w:t>
      </w:r>
    </w:p>
    <w:p>
      <w:pPr>
        <w:pStyle w:val="Normal"/>
        <w:tabs>
          <w:tab w:val="clear" w:pos="720"/>
          <w:tab w:val="left" w:pos="709" w:leader="none"/>
        </w:tabs>
        <w:ind w:hanging="709" w:start="709" w:end="0"/>
        <w:rPr>
          <w:sz w:val="22"/>
        </w:rPr>
      </w:pPr>
      <w:r>
        <w:rPr>
          <w:sz w:val="22"/>
        </w:rPr>
        <w:tab/>
        <w:t>In this manner, and with more than two years having already passed since the publication of Law No. 34/1998, no standard model contract accepted by all the parties is yet available, and the model access contracts signed to date are classed as provisional.</w:t>
      </w:r>
    </w:p>
    <w:p>
      <w:pPr>
        <w:pStyle w:val="Normal"/>
        <w:tabs>
          <w:tab w:val="clear" w:pos="720"/>
          <w:tab w:val="left" w:pos="709" w:leader="none"/>
        </w:tabs>
        <w:ind w:hanging="709" w:start="709" w:end="0"/>
        <w:rPr>
          <w:sz w:val="22"/>
        </w:rPr>
      </w:pPr>
      <w:r>
        <w:rPr>
          <w:sz w:val="22"/>
        </w:rPr>
        <w:tab/>
        <w:t>As a result, the specifying of the period for the conclusion of the contract from the time of the formal request for access requires progress in the regulation of the conditions of the contract. Therefore, the minimum conditions for access contracts should be regulated, as set down by Art. 70.2 of Law No. 34/1998, with the standard model contract being recognised.</w:t>
      </w:r>
    </w:p>
    <w:p>
      <w:pPr>
        <w:pStyle w:val="Clntinfo"/>
        <w:ind w:hanging="720" w:start="720" w:end="0"/>
        <w:rPr>
          <w:rFonts w:ascii="Times New Roman" w:hAnsi="Times New Roman" w:cs="Times New Roman"/>
        </w:rPr>
      </w:pPr>
      <w:r>
        <w:rPr>
          <w:rFonts w:cs="Times New Roman" w:ascii="Times New Roman" w:hAnsi="Times New Roman"/>
        </w:rPr>
        <w:t>VI.</w:t>
        <w:tab/>
        <w:t>On the Technical System Administrator</w:t>
      </w:r>
    </w:p>
    <w:p>
      <w:pPr>
        <w:pStyle w:val="Normal"/>
        <w:ind w:start="720" w:end="0"/>
        <w:rPr/>
      </w:pPr>
      <w:r>
        <w:rPr>
          <w:sz w:val="22"/>
        </w:rPr>
        <w:t xml:space="preserve">Art. 7 of Royal Decree-Law No. 6/2000, dated 23 June 2000, relative to urgent measures for intensification of competition in markets for goods and services, enacted a new Art. 64 in Law No. 34/1998, dated 7 October 1998, relative to the hydrocarbons sector. This article introduced the concept of the Technical System Administrator, as the party responsible for the technical management of the Basic Network and for secondary transportation, with the objective of </w:t>
      </w:r>
      <w:r>
        <w:rPr>
          <w:b/>
          <w:sz w:val="22"/>
        </w:rPr>
        <w:t>guaranteeing the continuity and security of supply of natural gas</w:t>
      </w:r>
      <w:r>
        <w:rPr>
          <w:sz w:val="22"/>
        </w:rPr>
        <w:t xml:space="preserve"> and the correct co-ordination of access points, storage facilities, transportation and distribution. Royal Decree-Law No. 6/2000 names Enagas, S.A. as the </w:t>
      </w:r>
      <w:r>
        <w:rPr>
          <w:b/>
          <w:sz w:val="22"/>
        </w:rPr>
        <w:t>Technical System Administrator for the gas system</w:t>
      </w:r>
      <w:r>
        <w:rPr>
          <w:sz w:val="22"/>
        </w:rPr>
        <w:t>.</w:t>
      </w:r>
      <w:r>
        <w:br w:type="page"/>
      </w:r>
    </w:p>
    <w:p>
      <w:pPr>
        <w:pStyle w:val="BodyText"/>
        <w:ind w:start="720" w:end="0"/>
        <w:rPr>
          <w:lang w:val="en-GB"/>
        </w:rPr>
      </w:pPr>
      <w:r>
        <w:rPr>
          <w:lang w:val="en-GB"/>
        </w:rPr>
        <w:t>Similarly, the above regulations establish the functions of the Technical System Administrator. The following among these functions should be highlighted: determination and monitoring of the level of guarantee of supply of natural gas by the system in the short and medium term, provision in the short and medium term for the use of system installations in accordance with forecast demand, and proposal to the Ministry for the Economy with respect to the development of the Basic Network for natural gas and the extension and/or expansion of storage facilities.</w:t>
      </w:r>
    </w:p>
    <w:p>
      <w:pPr>
        <w:pStyle w:val="BodyText"/>
        <w:ind w:start="720" w:end="0"/>
        <w:rPr>
          <w:lang w:val="en-GB"/>
        </w:rPr>
      </w:pPr>
      <w:r>
        <w:rPr>
          <w:lang w:val="en-GB"/>
        </w:rPr>
        <w:t>By law (Art. 64.1 of Law No. 34/1998), the Technical System Administrator is to exercise its functions in co-ordination with the various parties that manage or use the gas system according to principles of transparency, objectivity and independence.</w:t>
      </w:r>
    </w:p>
    <w:p>
      <w:pPr>
        <w:pStyle w:val="BodyText"/>
        <w:ind w:start="720" w:end="0"/>
        <w:rPr/>
      </w:pPr>
      <w:r>
        <w:rPr>
          <w:lang w:val="en-GB"/>
        </w:rPr>
        <w:t xml:space="preserve">The Law confers extensive responsibilities on the Technical System Administrator. These include </w:t>
      </w:r>
      <w:r>
        <w:rPr>
          <w:b/>
          <w:lang w:val="en-GB"/>
        </w:rPr>
        <w:t>provision in the short and medium term for the use of system installations, in accordance with forecast demand</w:t>
      </w:r>
      <w:r>
        <w:rPr>
          <w:lang w:val="en-GB"/>
        </w:rPr>
        <w:t>. Similarly, it requires that these functions be performed according to principles of transparency (Art. 64.1 of Law No. 34/1998).</w:t>
      </w:r>
    </w:p>
    <w:p>
      <w:pPr>
        <w:pStyle w:val="BodyText"/>
        <w:ind w:start="720" w:end="0"/>
        <w:rPr/>
      </w:pPr>
      <w:r>
        <w:rPr>
          <w:lang w:val="en-GB"/>
        </w:rPr>
        <w:t xml:space="preserve">As a consequence, it might have been advisable for the Technical System Administrator to </w:t>
      </w:r>
      <w:r>
        <w:rPr>
          <w:b/>
          <w:lang w:val="en-GB"/>
        </w:rPr>
        <w:t>make public</w:t>
      </w:r>
      <w:r>
        <w:rPr>
          <w:lang w:val="en-GB"/>
        </w:rPr>
        <w:t xml:space="preserve"> at all times its best forecast for the </w:t>
      </w:r>
      <w:r>
        <w:rPr>
          <w:b/>
          <w:lang w:val="en-GB"/>
        </w:rPr>
        <w:t>use/contracting of the reservation of capacity</w:t>
      </w:r>
      <w:r>
        <w:rPr>
          <w:lang w:val="en-GB"/>
        </w:rPr>
        <w:t xml:space="preserve"> with respect to the installations. Such publication has not yet taken place, due to the absence of legal provisions specifically requiring the Technical System Adminstrator to do so and due to the fact that the Technical System Admnistrator has only recently been established. This recommendation has been endorsed and expressed by the European Gas Regulators Board in Madrid. The absence of information has hampered relations between the Technical System Administrator and access applicants, with the result that relationships that should have been regulated and subject to the procedure have been left to be governed by bilateral agreements.</w:t>
      </w:r>
    </w:p>
    <w:p>
      <w:pPr>
        <w:pStyle w:val="BodyText"/>
        <w:ind w:start="720" w:end="0"/>
        <w:rPr>
          <w:lang w:val="en-GB"/>
        </w:rPr>
      </w:pPr>
      <w:r>
        <w:rPr>
          <w:lang w:val="en-GB"/>
        </w:rPr>
        <w:t>The absence of available information has contributed, in its turn, to muddying the perception that new agents in the system have with respect to the objectivity and independence of the Technical System Administrator.</w:t>
      </w:r>
    </w:p>
    <w:p>
      <w:pPr>
        <w:pStyle w:val="BodyText"/>
        <w:ind w:start="720" w:end="0"/>
        <w:rPr/>
      </w:pPr>
      <w:r>
        <w:rPr>
          <w:lang w:val="en-GB"/>
        </w:rPr>
        <w:t xml:space="preserve">This lack of information is the basis of </w:t>
      </w:r>
      <w:r>
        <w:rPr>
          <w:b/>
          <w:lang w:val="en-GB"/>
        </w:rPr>
        <w:t>Enron’s Pleading Nine</w:t>
      </w:r>
      <w:r>
        <w:rPr>
          <w:lang w:val="en-GB"/>
        </w:rPr>
        <w:t>, relative to the due transparency of the Technical System Administrator.</w:t>
      </w:r>
    </w:p>
    <w:p>
      <w:pPr>
        <w:pStyle w:val="BodyText"/>
        <w:ind w:start="720" w:end="0"/>
        <w:rPr/>
      </w:pPr>
      <w:r>
        <w:rPr>
          <w:lang w:val="en-GB"/>
        </w:rPr>
        <w:t>In the said pleading, Enron states, among other assertions, that “</w:t>
      </w:r>
      <w:r>
        <w:rPr>
          <w:i/>
          <w:lang w:val="en-GB"/>
        </w:rPr>
        <w:t>Enagas unilaterally developed a procedure that, on the one hand, concealed from the knowledge of the individual applicants the existence of the actual regasification and transportation capacity in the system and, on the other hand, unilaterally imposed criteria for allocation of reserved capacity that were not made available to all applicants…</w:t>
      </w:r>
      <w:r>
        <w:rPr>
          <w:lang w:val="en-GB"/>
        </w:rPr>
        <w:t>”. In this respect, while it does appear certain that there was an absence of information relative to available capacities, it cannot be asserted that Enagas established criteria relative to reservation of capacity that were different depending on the applicant. Enron states that it did not receive a letter dated 4 May 2000 sent by Enagas, in which Enagas stated the requirement to conclude an ATR (third party network access) contract for the purpose of effectively reserving transportation capacity. This letter appears as page 123 within the proceedings of 9 April 2000, which attests to the incorporation of certain documents into the CATR 2/2001 file. Although the above-mentioned letter does not indicate advice of receipt on the part of Enron, it does contain the information relative to the criterion maintained by Enagas that it would “</w:t>
      </w:r>
      <w:r>
        <w:rPr>
          <w:i/>
          <w:lang w:val="en-GB"/>
        </w:rPr>
        <w:t>not assume any undertaking with respect to reservations of capacity except through the conclusion of the corresponding contracts</w:t>
      </w:r>
      <w:r>
        <w:rPr>
          <w:lang w:val="en-GB"/>
        </w:rPr>
        <w:t>”.</w:t>
      </w:r>
    </w:p>
    <w:p>
      <w:pPr>
        <w:pStyle w:val="BodyText"/>
        <w:ind w:start="720" w:end="0"/>
        <w:rPr>
          <w:lang w:val="en-GB"/>
        </w:rPr>
      </w:pPr>
      <w:r>
        <w:rPr>
          <w:lang w:val="en-GB"/>
        </w:rPr>
        <w:t>In addition, Royal Decree-Law No. 6/2000 provides, in its Art. 10, a restriction whereby no natural or legal person may hold, directly or indirectly, a proportion greater than 35% of the registered capital or voting rights in Enagas, S.A..</w:t>
      </w:r>
      <w:r>
        <w:br w:type="page"/>
      </w:r>
    </w:p>
    <w:p>
      <w:pPr>
        <w:pStyle w:val="Normal"/>
        <w:ind w:start="720" w:end="0"/>
        <w:rPr/>
      </w:pPr>
      <w:r>
        <w:rPr>
          <w:sz w:val="22"/>
        </w:rPr>
        <w:t xml:space="preserve">By this measure, the legislators intended to </w:t>
      </w:r>
      <w:r>
        <w:rPr>
          <w:b/>
          <w:sz w:val="22"/>
        </w:rPr>
        <w:t>guarantee the independence</w:t>
      </w:r>
      <w:r>
        <w:rPr>
          <w:sz w:val="22"/>
        </w:rPr>
        <w:t xml:space="preserve"> of the Technical System Administrator. This measure, which in the Spanish legislation goes much further than that required by European Directive 98/30/EC of the European Parliament and of the Council, dated 22 June 1998 and relative to common rules for the market in natural gas, has still not been put into practice. Currently, 100% of the ownership of Enagas, S.A. is in the hands of the Gas Natural SDG group. A suitable degree of unbundling of the Technical Administrator, which is legally required to be implemented, must be put in practice as soon as possible.</w:t>
      </w:r>
    </w:p>
    <w:p>
      <w:pPr>
        <w:pStyle w:val="Normal"/>
        <w:ind w:start="720" w:end="0"/>
        <w:rPr>
          <w:sz w:val="22"/>
        </w:rPr>
      </w:pPr>
      <w:r>
        <w:rPr>
          <w:sz w:val="22"/>
        </w:rPr>
        <w:t>Only a real separation of the Technical System Administrator from the companies involved in the marketing of natural gas can guarantee its objectivity, and therefore instil confidence in its fairness. In this respect, it may be advisable to recall the recommendations put forward by the European Gas Regulators Board.</w:t>
      </w:r>
    </w:p>
    <w:p>
      <w:pPr>
        <w:pStyle w:val="Normal"/>
        <w:ind w:start="720" w:end="0"/>
        <w:rPr>
          <w:sz w:val="22"/>
        </w:rPr>
      </w:pPr>
      <w:r>
        <w:rPr>
          <w:sz w:val="22"/>
        </w:rPr>
        <w:t>In summary, and in conclusion, the Law entrusts to the Technical Administrator functions that are very important for the operation of the system, with the Technical Administrator as the central figure in this system. Currently, the legal requirements with respect to the shareholding of the Technical System Administrator still have not been implemented, as is required by law. As a consequence, it would be advisable for the independence and objectivity that are required to govern the technical management of this organisation to be demonstrated through compliance with obligations of transparency. This may have made it possible to avoid the dispute with which we are currently concerned.</w:t>
      </w:r>
    </w:p>
    <w:p>
      <w:pPr>
        <w:pStyle w:val="Clntinfo"/>
        <w:ind w:hanging="720" w:start="720" w:end="0"/>
        <w:rPr>
          <w:rFonts w:ascii="Times New Roman" w:hAnsi="Times New Roman" w:cs="Times New Roman"/>
        </w:rPr>
      </w:pPr>
      <w:r>
        <w:rPr>
          <w:rFonts w:cs="Times New Roman" w:ascii="Times New Roman" w:hAnsi="Times New Roman"/>
        </w:rPr>
        <w:t>VII.</w:t>
        <w:tab/>
        <w:t>On the economic return on the installations</w:t>
      </w:r>
    </w:p>
    <w:p>
      <w:pPr>
        <w:pStyle w:val="Normal"/>
        <w:ind w:start="720" w:end="0"/>
        <w:rPr>
          <w:sz w:val="22"/>
        </w:rPr>
      </w:pPr>
      <w:r>
        <w:rPr>
          <w:sz w:val="22"/>
        </w:rPr>
        <w:t>As has already been demonstrated throughout the document, demand for natural gas has seen significant growth, caused by the gradual introduction of natural gas into Spain. Historically, further resources were being put into the infrastructures to enable this expansion. Now, in the current situation, and due to the future introduction of combined cycle power stations, consumers who use large quantities of gas for the production of electricity may encounter temporary problems with respect to the adjustment of these infrastructures to the new demand situation. In other words, consumption exceeds the capacity of the system to supply it.</w:t>
      </w:r>
    </w:p>
    <w:p>
      <w:pPr>
        <w:pStyle w:val="Normal"/>
        <w:ind w:start="720" w:end="0"/>
        <w:rPr>
          <w:sz w:val="22"/>
        </w:rPr>
      </w:pPr>
      <w:r>
        <w:rPr>
          <w:sz w:val="22"/>
        </w:rPr>
        <w:t>Enagas, S.A., as the Technical System Administrator, has the legal duty of guaranteeing the continuity and security of the natural gas supply, and of the correct co-ordination of access points, storage facilities, transportation and distribution.</w:t>
      </w:r>
    </w:p>
    <w:p>
      <w:pPr>
        <w:pStyle w:val="Normal"/>
        <w:ind w:start="720" w:end="0"/>
        <w:rPr>
          <w:sz w:val="22"/>
        </w:rPr>
      </w:pPr>
      <w:r>
        <w:rPr>
          <w:sz w:val="22"/>
        </w:rPr>
        <w:t>Enagas, S.A., as the principal transportation operator, also has the right, as recognised by the Administration, to recompense for exercising its activities within the gas system, according to the provisions of Chapter VII, Part IV, of Law No. 34/1998 relative to the hydrocarbons sector.</w:t>
      </w:r>
    </w:p>
    <w:p>
      <w:pPr>
        <w:pStyle w:val="Normal"/>
        <w:ind w:start="720" w:end="0"/>
        <w:rPr/>
      </w:pPr>
      <w:r>
        <w:rPr>
          <w:sz w:val="22"/>
        </w:rPr>
        <w:t xml:space="preserve">According to the law, transportation activity is to be </w:t>
      </w:r>
      <w:r>
        <w:rPr>
          <w:b/>
          <w:sz w:val="22"/>
        </w:rPr>
        <w:t>recompensed economically</w:t>
      </w:r>
      <w:r>
        <w:rPr>
          <w:sz w:val="22"/>
        </w:rPr>
        <w:t xml:space="preserve"> through the tariffs, set charges and levies determined by the Government and the prices paid by eligible clients, as the case may be. According to Art. 92 of the Hydrocarbons Law, the above-mentioned tariffs, set charges and levies must </w:t>
      </w:r>
      <w:r>
        <w:rPr>
          <w:b/>
          <w:sz w:val="22"/>
        </w:rPr>
        <w:t>provide for the return on the investments</w:t>
      </w:r>
      <w:r>
        <w:rPr>
          <w:sz w:val="22"/>
        </w:rPr>
        <w:t xml:space="preserve"> made by operators over the useful life of such investments and must </w:t>
      </w:r>
      <w:r>
        <w:rPr>
          <w:b/>
          <w:sz w:val="22"/>
        </w:rPr>
        <w:t>enable a reasonable degree of profitability</w:t>
      </w:r>
      <w:r>
        <w:rPr>
          <w:sz w:val="22"/>
        </w:rPr>
        <w:t xml:space="preserve"> of financial resources invested.</w:t>
      </w:r>
    </w:p>
    <w:p>
      <w:pPr>
        <w:pStyle w:val="BodyText"/>
        <w:ind w:start="720" w:end="0"/>
        <w:rPr>
          <w:lang w:val="en-GB"/>
        </w:rPr>
      </w:pPr>
      <w:r>
        <w:rPr>
          <w:lang w:val="en-GB"/>
        </w:rPr>
        <w:t>As a consequence, Enagas, S.A., both as the Technical System Administrator, and therefore the party responsible for security of supply, and as a transportation operator, is required to actively promote the construction of the new network extensions required to meet demand. This is especially the case when the remuneration for these installations, which require prior administrative authorisation, is guaranteed by law.</w:t>
      </w:r>
    </w:p>
    <w:p>
      <w:pPr>
        <w:pStyle w:val="Normal"/>
        <w:ind w:start="720" w:end="0"/>
        <w:rPr>
          <w:sz w:val="22"/>
        </w:rPr>
      </w:pPr>
      <w:r>
        <w:rPr>
          <w:sz w:val="22"/>
        </w:rPr>
        <w:t>Therefore, the possible changes taking place in the system relative to such recompense should not constitute a basis for a delay in the commissioning of new installations.</w:t>
      </w:r>
      <w:r>
        <w:br w:type="page"/>
      </w:r>
    </w:p>
    <w:p>
      <w:pPr>
        <w:pStyle w:val="Normal"/>
        <w:ind w:start="720" w:end="0"/>
        <w:rPr>
          <w:sz w:val="22"/>
        </w:rPr>
      </w:pPr>
      <w:r>
        <w:rPr>
          <w:sz w:val="22"/>
        </w:rPr>
        <w:t>Moreover, although it is undeniable that such changes constitute a significant cost for the construction of new installations, they do, on the other hand, reduce the cost of processing licences and administrative permits.</w:t>
      </w:r>
    </w:p>
    <w:p>
      <w:pPr>
        <w:pStyle w:val="BodyTextIndent"/>
        <w:rPr>
          <w:lang w:val="en-GB"/>
        </w:rPr>
      </w:pPr>
      <w:r>
        <w:rPr>
          <w:lang w:val="en-GB"/>
        </w:rPr>
        <w:t>VIII.</w:t>
        <w:tab/>
        <w:t>On the reason for refusal of access under the conditions requested by Enron España Energía S.L.</w:t>
      </w:r>
    </w:p>
    <w:p>
      <w:pPr>
        <w:pStyle w:val="Normal"/>
        <w:ind w:start="720" w:end="0"/>
        <w:rPr/>
      </w:pPr>
      <w:r>
        <w:rPr>
          <w:sz w:val="22"/>
        </w:rPr>
        <w:t xml:space="preserve">In accordance with the provisions of Art. 15.1 of Royal Decree No. 1339/1999, dated 31 July 1999, in the case where there exists any of the reasons for refusal of access to third parties as recognised in the Hydrocarbons Law, as is the case of insufficient capacity, operators of installations are required to notify the National Energy Commission and the applicant of such refusal, and are required to provide the grounds therefor. These grounds must be understood, in accordance also with the criterion expressed by Enron in its </w:t>
      </w:r>
      <w:r>
        <w:rPr>
          <w:b/>
          <w:sz w:val="22"/>
        </w:rPr>
        <w:t>Pleading One</w:t>
      </w:r>
      <w:r>
        <w:rPr>
          <w:sz w:val="22"/>
        </w:rPr>
        <w:t>, as a rational and duly supported explanation of the absence of capacity.</w:t>
      </w:r>
    </w:p>
    <w:p>
      <w:pPr>
        <w:pStyle w:val="Normal"/>
        <w:ind w:start="720" w:end="0"/>
        <w:rPr/>
      </w:pPr>
      <w:r>
        <w:rPr>
          <w:sz w:val="22"/>
        </w:rPr>
        <w:t xml:space="preserve">The refusal of capacity under the conditions requested, notified by Enagas to Enron in its letter of 28 February 2001, states the following as the grounds for refusal: </w:t>
      </w:r>
      <w:r>
        <w:rPr>
          <w:i/>
          <w:sz w:val="22"/>
        </w:rPr>
        <w:t>“due essentially to the significant increase in domestic, commercial and industrial demand seen over recent times, it is currently necessary to undertake the creation of new infrastructures that will provide the gas system with the regasification and transportation capacity necessary to accommodate the demand expected in the medium and long term. For this reason, and while it is not possible to accommodate, with respect to the commencement date, the regasification and transportation services requested by Enron on 29 January 2001, in the context of the complete disposal of Enagas to seek solutions that, taking into consideration the possible development of infrastructures, will make it possible to meet the conditions of supply to your power station planned in Arcos, we advise that the Gas System will be in a position to provide access on a continuous basis as from the second quarter of the year 2004, provided that there are no undue delays in the processing of permits and administrative authorisations”</w:t>
      </w:r>
      <w:r>
        <w:rPr>
          <w:sz w:val="22"/>
        </w:rPr>
        <w:t>.</w:t>
      </w:r>
    </w:p>
    <w:p>
      <w:pPr>
        <w:pStyle w:val="Normal"/>
        <w:ind w:start="720" w:end="0"/>
        <w:rPr>
          <w:sz w:val="22"/>
        </w:rPr>
      </w:pPr>
      <w:r>
        <w:rPr>
          <w:sz w:val="22"/>
        </w:rPr>
        <w:t>Given that it is not the responsibility of Enron to prove the existence of capacity and that it falls to Enagas to prove the absence of such capacity, as Enagas is the operator of the installations to which access has been sought, and given that, in the opinion of this Commission, the information indicated in the preceding paragraph is not sufficient, Enagas was requested, as part of the procedure for examination with respect to this case, to provide additional information: notification of 5 April from the National Energy Commission to Enagas, requesting that Enagas provide information in support of the causes making it impossible to allow access under the conditions requested and resulting from comparative studies from the last time that Enagas provided notification of the existence of capacity (May 2000) and the moment at which the existence of problems was detected (February 2001). For each study, information was requested relative to forecast demand, new electricity generation plants envisaged, demand points and their coverage, input capacities, possible restrictions and any other information that Enagas may consider to be relevant for examination of the case.</w:t>
      </w:r>
    </w:p>
    <w:p>
      <w:pPr>
        <w:pStyle w:val="Normal"/>
        <w:ind w:start="720" w:end="0"/>
        <w:rPr>
          <w:sz w:val="22"/>
        </w:rPr>
      </w:pPr>
      <w:r>
        <w:rPr>
          <w:sz w:val="22"/>
        </w:rPr>
        <w:t>On the same date, the Commission requested that Enron, as part of the examination procedure, provide information with respect to the progress of its project; permits and the schedule of works.</w:t>
      </w:r>
    </w:p>
    <w:p>
      <w:pPr>
        <w:pStyle w:val="Normal"/>
        <w:ind w:start="720" w:end="0"/>
        <w:rPr>
          <w:sz w:val="22"/>
        </w:rPr>
      </w:pPr>
      <w:r>
        <w:rPr>
          <w:sz w:val="22"/>
        </w:rPr>
        <w:t>On 16 and 17 April, the responses of Enron and Enagas respectively were received, as required for the examination procedure as specified above: pages 191 to 409 for Enron and pages 410 to 436 of the file for Enagas.</w:t>
      </w:r>
      <w:r>
        <w:br w:type="page"/>
      </w:r>
    </w:p>
    <w:p>
      <w:pPr>
        <w:pStyle w:val="Normal"/>
        <w:ind w:start="720" w:end="0"/>
        <w:rPr>
          <w:sz w:val="22"/>
        </w:rPr>
      </w:pPr>
      <w:r>
        <w:rPr>
          <w:sz w:val="22"/>
        </w:rPr>
        <w:t>On 18 April, the Commission notified both Enron and Enagas of the initiation of the hearing procedure, attaching a copy of the complete file for each of the parties.</w:t>
      </w:r>
    </w:p>
    <w:p>
      <w:pPr>
        <w:pStyle w:val="Normal"/>
        <w:ind w:start="720" w:end="0"/>
        <w:rPr/>
      </w:pPr>
      <w:r>
        <w:rPr>
          <w:sz w:val="22"/>
        </w:rPr>
        <w:t>On 25 April, the Commission received a document from Enron, in which it indicated the inadequacy of the information provided by Enagas, describing it as “</w:t>
      </w:r>
      <w:r>
        <w:rPr>
          <w:i/>
          <w:sz w:val="22"/>
        </w:rPr>
        <w:t>incomplete, biased and lacking in any factual support</w:t>
      </w:r>
      <w:r>
        <w:rPr>
          <w:sz w:val="22"/>
        </w:rPr>
        <w:t>”. Enron also requested that the Commission address a request to Enagas for information additional to that provided, and that the period for submission of Enron’s pleadings be extended as a result.</w:t>
      </w:r>
    </w:p>
    <w:p>
      <w:pPr>
        <w:pStyle w:val="Normal"/>
        <w:ind w:start="720" w:end="0"/>
        <w:rPr/>
      </w:pPr>
      <w:r>
        <w:rPr>
          <w:sz w:val="22"/>
        </w:rPr>
        <w:t xml:space="preserve">Following detailed analysis of the documentation sent by Enagas, with respect to the cause of the refusal, the Commission’s examining authority decided not to consider Enron’s request, since it considered that the information provided satisfied the request for information made by this entity if not in an exhaustive manner then </w:t>
      </w:r>
      <w:r>
        <w:rPr>
          <w:b/>
          <w:sz w:val="22"/>
        </w:rPr>
        <w:t>in a manner that was sufficient</w:t>
      </w:r>
      <w:r>
        <w:rPr>
          <w:sz w:val="22"/>
        </w:rPr>
        <w:t>: demand forecasts and possibilities for accommodation of combined cycle plants, daily demand points and injection capacities for the system, input capacities of the Huelva plant, input capacities for the Tarifa international connection, any transportation system restrictions, conclusions and other relevant information.</w:t>
      </w:r>
    </w:p>
    <w:p>
      <w:pPr>
        <w:pStyle w:val="Normal"/>
        <w:ind w:start="720" w:end="0"/>
        <w:rPr>
          <w:sz w:val="22"/>
        </w:rPr>
      </w:pPr>
      <w:r>
        <w:rPr>
          <w:sz w:val="22"/>
        </w:rPr>
        <w:t>Therefore, while it is certain that, in accordance with the statements made by Enron in Pleading One of its document, Enagas has not provided all of the information requested in an exhaustive manner, it has provided sufficient grounds for its refusal of access. This assessment is reinforced by the fact that Enron’s Pleadings Two, Three, Four, Five, Six and Seven are intended to refute numerically the data presented by Enagas, with the aim of demonstrating the existence of capacity.</w:t>
      </w:r>
    </w:p>
    <w:p>
      <w:pPr>
        <w:pStyle w:val="Normal"/>
        <w:ind w:start="720" w:end="0"/>
        <w:rPr>
          <w:sz w:val="22"/>
        </w:rPr>
      </w:pPr>
      <w:r>
        <w:rPr>
          <w:sz w:val="22"/>
        </w:rPr>
        <w:t>As a result, and in accordance with the information expressed in the following sections of this document, Enron’s Pleading One, in which it considers that Enagas has not proven the absence of transport capacity, should be highlighted.</w:t>
      </w:r>
    </w:p>
    <w:p>
      <w:pPr>
        <w:pStyle w:val="BodyTextIndent"/>
        <w:rPr>
          <w:lang w:val="en-GB"/>
        </w:rPr>
      </w:pPr>
      <w:r>
        <w:rPr>
          <w:lang w:val="en-GB"/>
        </w:rPr>
        <w:t>IX.</w:t>
        <w:tab/>
        <w:t>On the refusal of access under the conditions requested by Enron España Energía S.L.</w:t>
      </w:r>
    </w:p>
    <w:p>
      <w:pPr>
        <w:pStyle w:val="Normal"/>
        <w:ind w:start="720" w:end="0"/>
        <w:rPr/>
      </w:pPr>
      <w:r>
        <w:rPr>
          <w:sz w:val="22"/>
        </w:rPr>
        <w:t>The reservation of capacity requested by Enron España Energía S.L. is 4.82 Mm</w:t>
      </w:r>
      <w:r>
        <w:rPr>
          <w:sz w:val="22"/>
          <w:vertAlign w:val="superscript"/>
        </w:rPr>
        <w:t>3</w:t>
      </w:r>
      <w:r>
        <w:rPr>
          <w:sz w:val="22"/>
        </w:rPr>
        <w:t xml:space="preserve">(n)/day daily capacity and 2.01 Mte maximum hourly capacity, with the </w:t>
      </w:r>
      <w:r>
        <w:rPr>
          <w:b/>
          <w:sz w:val="22"/>
        </w:rPr>
        <w:t>Huelva regasification plant as input point</w:t>
      </w:r>
      <w:r>
        <w:rPr>
          <w:sz w:val="22"/>
        </w:rPr>
        <w:t xml:space="preserve"> and </w:t>
      </w:r>
      <w:r>
        <w:rPr>
          <w:b/>
          <w:sz w:val="22"/>
        </w:rPr>
        <w:t>point K11 of the Tarifa-Córdoba gas pipeline as output point</w:t>
      </w:r>
      <w:r>
        <w:rPr>
          <w:sz w:val="22"/>
        </w:rPr>
        <w:t xml:space="preserve">, the </w:t>
      </w:r>
      <w:r>
        <w:rPr>
          <w:b/>
          <w:sz w:val="22"/>
        </w:rPr>
        <w:t>commencement date</w:t>
      </w:r>
      <w:r>
        <w:rPr>
          <w:sz w:val="22"/>
        </w:rPr>
        <w:t xml:space="preserve"> requested is </w:t>
      </w:r>
      <w:r>
        <w:rPr>
          <w:b/>
          <w:sz w:val="22"/>
        </w:rPr>
        <w:t>1 October 2002</w:t>
      </w:r>
      <w:r>
        <w:rPr>
          <w:sz w:val="22"/>
        </w:rPr>
        <w:t xml:space="preserve"> and the </w:t>
      </w:r>
      <w:r>
        <w:rPr>
          <w:b/>
          <w:sz w:val="22"/>
        </w:rPr>
        <w:t>end date 30 September 2022</w:t>
      </w:r>
      <w:r>
        <w:rPr>
          <w:sz w:val="22"/>
        </w:rPr>
        <w:t>.</w:t>
      </w:r>
    </w:p>
    <w:p>
      <w:pPr>
        <w:pStyle w:val="BodyText"/>
        <w:ind w:start="720" w:end="0"/>
        <w:rPr>
          <w:lang w:val="en-GB"/>
        </w:rPr>
      </w:pPr>
      <w:r>
        <w:rPr>
          <w:lang w:val="en-GB"/>
        </w:rPr>
        <w:t>In the capacity studies carried out by the Technical System Administrator, the Spanish gas system is divided into two sub-systems, East of Haro and West of Haro, because of the manner in which the gas system is supplied.</w:t>
      </w:r>
    </w:p>
    <w:p>
      <w:pPr>
        <w:pStyle w:val="Normal"/>
        <w:ind w:start="720" w:end="0"/>
        <w:rPr>
          <w:sz w:val="22"/>
        </w:rPr>
      </w:pPr>
      <w:r>
        <w:rPr>
          <w:sz w:val="22"/>
        </w:rPr>
        <w:t>The West of Haro sub-system is characterised by the fact that it receives “almost all of the gas” required, according to Enagas, including in situations of maximum demand, from the south of Spain: the Tarifa connection via the Magreb gas pipeline, the Huelva regasification plant and the Marismas and Poseidón deposits (see Figure 1 in Annex 1).</w:t>
      </w:r>
    </w:p>
    <w:p>
      <w:pPr>
        <w:pStyle w:val="Normal"/>
        <w:ind w:start="720" w:end="0"/>
        <w:rPr/>
      </w:pPr>
      <w:r>
        <w:rPr>
          <w:sz w:val="22"/>
        </w:rPr>
        <w:t xml:space="preserve">The </w:t>
      </w:r>
      <w:r>
        <w:rPr>
          <w:b/>
          <w:sz w:val="22"/>
        </w:rPr>
        <w:t>current regasification capacity of the Huelva plant is 10.8 Mm</w:t>
      </w:r>
      <w:r>
        <w:rPr>
          <w:b/>
          <w:sz w:val="22"/>
          <w:vertAlign w:val="superscript"/>
        </w:rPr>
        <w:t>3</w:t>
      </w:r>
      <w:r>
        <w:rPr>
          <w:b/>
          <w:sz w:val="22"/>
        </w:rPr>
        <w:t>(n)/day</w:t>
      </w:r>
      <w:r>
        <w:rPr>
          <w:sz w:val="22"/>
        </w:rPr>
        <w:t>. Another relevant physical characteristic relative to the infrastructures necessary for supply of the new plants in south-western Spain is the transportation capacity of the gas pipeline coming out of the Huelva regasification plant. The diameter of the output pipeline, as can be seen from the illustration above, is 20 inches to Seville, and then considerably greater (26 inches) from Seville to Córdoba. The current Huelva-Seville section limits transportation capacity to 9 Mm</w:t>
      </w:r>
      <w:r>
        <w:rPr>
          <w:sz w:val="22"/>
          <w:vertAlign w:val="superscript"/>
        </w:rPr>
        <w:t>3</w:t>
      </w:r>
      <w:r>
        <w:rPr>
          <w:sz w:val="22"/>
        </w:rPr>
        <w:t>(n)/day.</w:t>
      </w:r>
      <w:r>
        <w:br w:type="page"/>
      </w:r>
    </w:p>
    <w:p>
      <w:pPr>
        <w:pStyle w:val="BodyText"/>
        <w:ind w:start="720" w:end="0"/>
        <w:rPr/>
      </w:pPr>
      <w:r>
        <w:rPr>
          <w:lang w:val="en-GB"/>
        </w:rPr>
        <w:t xml:space="preserve">According to the documentation provided by Enagas, S.A., dated 17 April, </w:t>
      </w:r>
      <w:r>
        <w:rPr>
          <w:b/>
          <w:lang w:val="en-GB"/>
        </w:rPr>
        <w:t>the ATR (Third Party Network Access) and international transit contracts existing as at February 2001</w:t>
      </w:r>
      <w:r>
        <w:rPr/>
        <w:t xml:space="preserve"> and affecting the Huelva plant are indicated in Table 1.</w:t>
      </w:r>
    </w:p>
    <w:tbl>
      <w:tblPr>
        <w:tblW w:w="6378" w:type="dxa"/>
        <w:jc w:val="start"/>
        <w:tblInd w:w="1101" w:type="dxa"/>
        <w:tblLayout w:type="fixed"/>
        <w:tblCellMar>
          <w:top w:w="0" w:type="dxa"/>
          <w:start w:w="108" w:type="dxa"/>
          <w:bottom w:w="0" w:type="dxa"/>
          <w:end w:w="108" w:type="dxa"/>
        </w:tblCellMar>
      </w:tblPr>
      <w:tblGrid>
        <w:gridCol w:w="3685"/>
        <w:gridCol w:w="2693"/>
      </w:tblGrid>
      <w:tr>
        <w:trPr/>
        <w:tc>
          <w:tcPr>
            <w:tcW w:w="3685" w:type="dxa"/>
            <w:tcBorders>
              <w:top w:val="single" w:sz="4" w:space="0" w:color="000000"/>
              <w:start w:val="single" w:sz="4" w:space="0" w:color="000000"/>
              <w:bottom w:val="single" w:sz="4" w:space="0" w:color="000000"/>
              <w:end w:val="single" w:sz="4" w:space="0" w:color="000000"/>
            </w:tcBorders>
          </w:tcPr>
          <w:p>
            <w:pPr>
              <w:pStyle w:val="Normal"/>
              <w:spacing w:before="40" w:after="40"/>
              <w:rPr>
                <w:sz w:val="22"/>
              </w:rPr>
            </w:pPr>
            <w:r>
              <w:rPr>
                <w:sz w:val="22"/>
              </w:rPr>
              <w:t>BP Amoco</w:t>
            </w:r>
          </w:p>
        </w:tc>
        <w:tc>
          <w:tcPr>
            <w:tcW w:w="2693" w:type="dxa"/>
            <w:tcBorders>
              <w:top w:val="single" w:sz="4" w:space="0" w:color="000000"/>
              <w:start w:val="single" w:sz="4" w:space="0" w:color="000000"/>
              <w:bottom w:val="single" w:sz="4" w:space="0" w:color="000000"/>
              <w:end w:val="single" w:sz="4" w:space="0" w:color="000000"/>
            </w:tcBorders>
          </w:tcPr>
          <w:p>
            <w:pPr>
              <w:pStyle w:val="Normal"/>
              <w:spacing w:before="40" w:after="40"/>
              <w:jc w:val="end"/>
              <w:rPr/>
            </w:pPr>
            <w:r>
              <w:rPr>
                <w:sz w:val="22"/>
              </w:rPr>
              <w:t>1,250,000 m</w:t>
            </w:r>
            <w:r>
              <w:rPr>
                <w:sz w:val="22"/>
                <w:vertAlign w:val="superscript"/>
              </w:rPr>
              <w:t>3</w:t>
            </w:r>
            <w:r>
              <w:rPr>
                <w:sz w:val="22"/>
              </w:rPr>
              <w:t>(n)/day</w:t>
            </w:r>
          </w:p>
        </w:tc>
      </w:tr>
      <w:tr>
        <w:trPr/>
        <w:tc>
          <w:tcPr>
            <w:tcW w:w="3685" w:type="dxa"/>
            <w:tcBorders>
              <w:top w:val="single" w:sz="4" w:space="0" w:color="000000"/>
              <w:start w:val="single" w:sz="4" w:space="0" w:color="000000"/>
              <w:bottom w:val="single" w:sz="4" w:space="0" w:color="000000"/>
              <w:end w:val="single" w:sz="4" w:space="0" w:color="000000"/>
            </w:tcBorders>
          </w:tcPr>
          <w:p>
            <w:pPr>
              <w:pStyle w:val="Normal"/>
              <w:spacing w:before="40" w:after="40"/>
              <w:rPr>
                <w:sz w:val="22"/>
              </w:rPr>
            </w:pPr>
            <w:r>
              <w:rPr>
                <w:sz w:val="22"/>
              </w:rPr>
              <w:t>Shell</w:t>
            </w:r>
          </w:p>
        </w:tc>
        <w:tc>
          <w:tcPr>
            <w:tcW w:w="2693" w:type="dxa"/>
            <w:tcBorders>
              <w:top w:val="single" w:sz="4" w:space="0" w:color="000000"/>
              <w:start w:val="single" w:sz="4" w:space="0" w:color="000000"/>
              <w:bottom w:val="single" w:sz="4" w:space="0" w:color="000000"/>
              <w:end w:val="single" w:sz="4" w:space="0" w:color="000000"/>
            </w:tcBorders>
          </w:tcPr>
          <w:p>
            <w:pPr>
              <w:pStyle w:val="Normal"/>
              <w:spacing w:before="40" w:after="40"/>
              <w:jc w:val="end"/>
              <w:rPr/>
            </w:pPr>
            <w:r>
              <w:rPr>
                <w:sz w:val="22"/>
              </w:rPr>
              <w:t>838,000 m</w:t>
            </w:r>
            <w:r>
              <w:rPr>
                <w:sz w:val="22"/>
                <w:vertAlign w:val="superscript"/>
              </w:rPr>
              <w:t>3</w:t>
            </w:r>
            <w:r>
              <w:rPr>
                <w:sz w:val="22"/>
              </w:rPr>
              <w:t>(n)/day</w:t>
            </w:r>
          </w:p>
        </w:tc>
      </w:tr>
      <w:tr>
        <w:trPr/>
        <w:tc>
          <w:tcPr>
            <w:tcW w:w="3685" w:type="dxa"/>
            <w:tcBorders>
              <w:top w:val="single" w:sz="4" w:space="0" w:color="000000"/>
              <w:start w:val="single" w:sz="4" w:space="0" w:color="000000"/>
              <w:bottom w:val="single" w:sz="4" w:space="0" w:color="000000"/>
              <w:end w:val="single" w:sz="4" w:space="0" w:color="000000"/>
            </w:tcBorders>
          </w:tcPr>
          <w:p>
            <w:pPr>
              <w:pStyle w:val="Normal"/>
              <w:spacing w:before="40" w:after="40"/>
              <w:rPr>
                <w:sz w:val="22"/>
              </w:rPr>
            </w:pPr>
            <w:r>
              <w:rPr>
                <w:sz w:val="22"/>
              </w:rPr>
              <w:t>Gas Natural Com. (I)</w:t>
            </w:r>
          </w:p>
        </w:tc>
        <w:tc>
          <w:tcPr>
            <w:tcW w:w="2693" w:type="dxa"/>
            <w:tcBorders>
              <w:top w:val="single" w:sz="4" w:space="0" w:color="000000"/>
              <w:start w:val="single" w:sz="4" w:space="0" w:color="000000"/>
              <w:bottom w:val="single" w:sz="4" w:space="0" w:color="000000"/>
              <w:end w:val="single" w:sz="4" w:space="0" w:color="000000"/>
            </w:tcBorders>
          </w:tcPr>
          <w:p>
            <w:pPr>
              <w:pStyle w:val="Normal"/>
              <w:spacing w:before="40" w:after="40"/>
              <w:jc w:val="end"/>
              <w:rPr/>
            </w:pPr>
            <w:r>
              <w:rPr>
                <w:sz w:val="22"/>
              </w:rPr>
              <w:t>2,502,000 m</w:t>
            </w:r>
            <w:r>
              <w:rPr>
                <w:sz w:val="22"/>
                <w:vertAlign w:val="superscript"/>
              </w:rPr>
              <w:t>3</w:t>
            </w:r>
            <w:r>
              <w:rPr>
                <w:sz w:val="22"/>
              </w:rPr>
              <w:t>(n)/day</w:t>
            </w:r>
          </w:p>
        </w:tc>
      </w:tr>
      <w:tr>
        <w:trPr/>
        <w:tc>
          <w:tcPr>
            <w:tcW w:w="3685" w:type="dxa"/>
            <w:tcBorders>
              <w:top w:val="single" w:sz="4" w:space="0" w:color="000000"/>
              <w:start w:val="single" w:sz="4" w:space="0" w:color="000000"/>
              <w:bottom w:val="single" w:sz="4" w:space="0" w:color="000000"/>
              <w:end w:val="single" w:sz="4" w:space="0" w:color="000000"/>
            </w:tcBorders>
          </w:tcPr>
          <w:p>
            <w:pPr>
              <w:pStyle w:val="Normal"/>
              <w:spacing w:before="40" w:after="40"/>
              <w:rPr>
                <w:sz w:val="22"/>
              </w:rPr>
            </w:pPr>
            <w:r>
              <w:rPr>
                <w:sz w:val="22"/>
              </w:rPr>
              <w:t>Gas Natural Com. (II)</w:t>
            </w:r>
          </w:p>
        </w:tc>
        <w:tc>
          <w:tcPr>
            <w:tcW w:w="2693" w:type="dxa"/>
            <w:tcBorders>
              <w:top w:val="single" w:sz="4" w:space="0" w:color="000000"/>
              <w:start w:val="single" w:sz="4" w:space="0" w:color="000000"/>
              <w:bottom w:val="single" w:sz="4" w:space="0" w:color="000000"/>
              <w:end w:val="single" w:sz="4" w:space="0" w:color="000000"/>
            </w:tcBorders>
          </w:tcPr>
          <w:p>
            <w:pPr>
              <w:pStyle w:val="Normal"/>
              <w:spacing w:before="40" w:after="40"/>
              <w:jc w:val="end"/>
              <w:rPr/>
            </w:pPr>
            <w:r>
              <w:rPr>
                <w:sz w:val="22"/>
              </w:rPr>
              <w:t>4,697,500 m</w:t>
            </w:r>
            <w:r>
              <w:rPr>
                <w:sz w:val="22"/>
                <w:vertAlign w:val="superscript"/>
              </w:rPr>
              <w:t>3</w:t>
            </w:r>
            <w:r>
              <w:rPr>
                <w:sz w:val="22"/>
              </w:rPr>
              <w:t>(n)/day</w:t>
            </w:r>
          </w:p>
        </w:tc>
      </w:tr>
      <w:tr>
        <w:trPr/>
        <w:tc>
          <w:tcPr>
            <w:tcW w:w="3685" w:type="dxa"/>
            <w:tcBorders>
              <w:top w:val="single" w:sz="4" w:space="0" w:color="000000"/>
              <w:start w:val="single" w:sz="4" w:space="0" w:color="000000"/>
              <w:bottom w:val="single" w:sz="4" w:space="0" w:color="000000"/>
              <w:end w:val="single" w:sz="4" w:space="0" w:color="000000"/>
            </w:tcBorders>
          </w:tcPr>
          <w:p>
            <w:pPr>
              <w:pStyle w:val="Normal"/>
              <w:spacing w:before="40" w:after="40"/>
              <w:rPr>
                <w:sz w:val="22"/>
              </w:rPr>
            </w:pPr>
            <w:r>
              <w:rPr>
                <w:sz w:val="22"/>
              </w:rPr>
              <w:t>Transgás</w:t>
            </w:r>
          </w:p>
        </w:tc>
        <w:tc>
          <w:tcPr>
            <w:tcW w:w="2693" w:type="dxa"/>
            <w:tcBorders>
              <w:top w:val="single" w:sz="4" w:space="0" w:color="000000"/>
              <w:start w:val="single" w:sz="4" w:space="0" w:color="000000"/>
              <w:bottom w:val="single" w:sz="4" w:space="0" w:color="000000"/>
              <w:end w:val="single" w:sz="4" w:space="0" w:color="000000"/>
            </w:tcBorders>
          </w:tcPr>
          <w:p>
            <w:pPr>
              <w:pStyle w:val="Normal"/>
              <w:spacing w:before="40" w:after="40"/>
              <w:jc w:val="end"/>
              <w:rPr/>
            </w:pPr>
            <w:r>
              <w:rPr>
                <w:sz w:val="22"/>
              </w:rPr>
              <w:t>1,500,000 m</w:t>
            </w:r>
            <w:r>
              <w:rPr>
                <w:sz w:val="22"/>
                <w:vertAlign w:val="superscript"/>
              </w:rPr>
              <w:t>3</w:t>
            </w:r>
            <w:r>
              <w:rPr>
                <w:sz w:val="22"/>
              </w:rPr>
              <w:t>(n)/day</w:t>
            </w:r>
          </w:p>
        </w:tc>
      </w:tr>
      <w:tr>
        <w:trPr/>
        <w:tc>
          <w:tcPr>
            <w:tcW w:w="3685" w:type="dxa"/>
            <w:tcBorders>
              <w:top w:val="single" w:sz="4" w:space="0" w:color="000000"/>
              <w:start w:val="single" w:sz="4" w:space="0" w:color="000000"/>
              <w:bottom w:val="single" w:sz="4" w:space="0" w:color="000000"/>
              <w:end w:val="single" w:sz="4" w:space="0" w:color="000000"/>
            </w:tcBorders>
          </w:tcPr>
          <w:p>
            <w:pPr>
              <w:pStyle w:val="Normal"/>
              <w:spacing w:before="40" w:after="40"/>
              <w:rPr>
                <w:b/>
                <w:sz w:val="22"/>
              </w:rPr>
            </w:pPr>
            <w:r>
              <w:rPr>
                <w:b/>
                <w:sz w:val="22"/>
              </w:rPr>
              <w:t>Total capacity contracted</w:t>
            </w:r>
          </w:p>
        </w:tc>
        <w:tc>
          <w:tcPr>
            <w:tcW w:w="2693" w:type="dxa"/>
            <w:tcBorders>
              <w:top w:val="single" w:sz="4" w:space="0" w:color="000000"/>
              <w:start w:val="single" w:sz="4" w:space="0" w:color="000000"/>
              <w:bottom w:val="single" w:sz="4" w:space="0" w:color="000000"/>
              <w:end w:val="single" w:sz="4" w:space="0" w:color="000000"/>
            </w:tcBorders>
          </w:tcPr>
          <w:p>
            <w:pPr>
              <w:pStyle w:val="Normal"/>
              <w:spacing w:before="40" w:after="40"/>
              <w:jc w:val="end"/>
              <w:rPr/>
            </w:pPr>
            <w:r>
              <w:rPr>
                <w:b/>
                <w:sz w:val="22"/>
              </w:rPr>
              <w:t>10,787,500 m</w:t>
            </w:r>
            <w:r>
              <w:rPr>
                <w:b/>
                <w:sz w:val="22"/>
                <w:vertAlign w:val="superscript"/>
              </w:rPr>
              <w:t>3</w:t>
            </w:r>
            <w:r>
              <w:rPr>
                <w:b/>
                <w:sz w:val="22"/>
              </w:rPr>
              <w:t>(n)/day</w:t>
            </w:r>
          </w:p>
        </w:tc>
      </w:tr>
      <w:tr>
        <w:trPr/>
        <w:tc>
          <w:tcPr>
            <w:tcW w:w="3685" w:type="dxa"/>
            <w:tcBorders>
              <w:top w:val="single" w:sz="4" w:space="0" w:color="000000"/>
              <w:start w:val="single" w:sz="4" w:space="0" w:color="000000"/>
              <w:bottom w:val="single" w:sz="4" w:space="0" w:color="000000"/>
              <w:end w:val="single" w:sz="4" w:space="0" w:color="000000"/>
            </w:tcBorders>
          </w:tcPr>
          <w:p>
            <w:pPr>
              <w:pStyle w:val="Normal"/>
              <w:spacing w:before="40" w:after="40"/>
              <w:rPr>
                <w:b/>
                <w:sz w:val="22"/>
              </w:rPr>
            </w:pPr>
            <w:r>
              <w:rPr>
                <w:b/>
                <w:sz w:val="22"/>
              </w:rPr>
              <w:t>Huelva plant total capacity</w:t>
            </w:r>
          </w:p>
        </w:tc>
        <w:tc>
          <w:tcPr>
            <w:tcW w:w="2693" w:type="dxa"/>
            <w:tcBorders>
              <w:top w:val="single" w:sz="4" w:space="0" w:color="000000"/>
              <w:start w:val="single" w:sz="4" w:space="0" w:color="000000"/>
              <w:bottom w:val="single" w:sz="4" w:space="0" w:color="000000"/>
              <w:end w:val="single" w:sz="4" w:space="0" w:color="000000"/>
            </w:tcBorders>
          </w:tcPr>
          <w:p>
            <w:pPr>
              <w:pStyle w:val="Normal"/>
              <w:spacing w:before="40" w:after="40"/>
              <w:jc w:val="end"/>
              <w:rPr/>
            </w:pPr>
            <w:r>
              <w:rPr>
                <w:b/>
                <w:sz w:val="22"/>
              </w:rPr>
              <w:t>10,800,000 m</w:t>
            </w:r>
            <w:r>
              <w:rPr>
                <w:b/>
                <w:sz w:val="22"/>
                <w:vertAlign w:val="superscript"/>
              </w:rPr>
              <w:t>3</w:t>
            </w:r>
            <w:r>
              <w:rPr>
                <w:b/>
                <w:sz w:val="22"/>
              </w:rPr>
              <w:t>(n)/day</w:t>
            </w:r>
          </w:p>
        </w:tc>
      </w:tr>
    </w:tbl>
    <w:p>
      <w:pPr>
        <w:pStyle w:val="BodyText"/>
        <w:jc w:val="center"/>
        <w:rPr>
          <w:lang w:val="en-GB"/>
        </w:rPr>
      </w:pPr>
      <w:r>
        <w:rPr>
          <w:lang w:val="en-GB"/>
        </w:rPr>
        <w:t>Table 1: ATR and international transit contracts existing as at February 2001 in the Huelva regasification plant.</w:t>
      </w:r>
    </w:p>
    <w:p>
      <w:pPr>
        <w:pStyle w:val="Normal"/>
        <w:ind w:start="720" w:end="0"/>
        <w:rPr/>
      </w:pPr>
      <w:r>
        <w:rPr>
          <w:sz w:val="22"/>
        </w:rPr>
        <w:t xml:space="preserve">From the values shown in Table 1, we can conclude that </w:t>
      </w:r>
      <w:r>
        <w:rPr>
          <w:b/>
          <w:sz w:val="22"/>
        </w:rPr>
        <w:t>the reservations of capacity corresponding to the contracts concluded prior to the formal application from Enron España Energía S.L. currently take up all of the capacity of the Huelva regasification plant</w:t>
      </w:r>
      <w:r>
        <w:rPr>
          <w:sz w:val="22"/>
        </w:rPr>
        <w:t>.</w:t>
      </w:r>
    </w:p>
    <w:p>
      <w:pPr>
        <w:pStyle w:val="Normal"/>
        <w:ind w:start="720" w:end="0"/>
        <w:rPr>
          <w:sz w:val="22"/>
        </w:rPr>
      </w:pPr>
      <w:r>
        <w:rPr>
          <w:sz w:val="22"/>
        </w:rPr>
        <w:t>In the case in question, Enron’s access application was made with respect to the Huelva regasification plant.</w:t>
      </w:r>
    </w:p>
    <w:p>
      <w:pPr>
        <w:pStyle w:val="Normal"/>
        <w:ind w:start="720" w:end="0"/>
        <w:rPr/>
      </w:pPr>
      <w:r>
        <w:rPr>
          <w:sz w:val="22"/>
        </w:rPr>
        <w:t xml:space="preserve">Furthermore, the data provided by Enagas, S.A., in the documentation sent on 17 April 2001 and with respect to this plant </w:t>
      </w:r>
      <w:r>
        <w:rPr>
          <w:b/>
          <w:sz w:val="22"/>
        </w:rPr>
        <w:t>up to the year 2004</w:t>
      </w:r>
      <w:r>
        <w:rPr>
          <w:sz w:val="22"/>
        </w:rPr>
        <w:t xml:space="preserve"> are indicated in Table 2.</w:t>
      </w:r>
    </w:p>
    <w:tbl>
      <w:tblPr>
        <w:tblW w:w="8520" w:type="dxa"/>
        <w:jc w:val="start"/>
        <w:tblInd w:w="0" w:type="dxa"/>
        <w:tblLayout w:type="fixed"/>
        <w:tblCellMar>
          <w:top w:w="0" w:type="dxa"/>
          <w:start w:w="108" w:type="dxa"/>
          <w:bottom w:w="0" w:type="dxa"/>
          <w:end w:w="108" w:type="dxa"/>
        </w:tblCellMar>
      </w:tblPr>
      <w:tblGrid>
        <w:gridCol w:w="2518"/>
        <w:gridCol w:w="1134"/>
        <w:gridCol w:w="1134"/>
        <w:gridCol w:w="1276"/>
        <w:gridCol w:w="1276"/>
        <w:gridCol w:w="1182"/>
      </w:tblGrid>
      <w:tr>
        <w:trPr/>
        <w:tc>
          <w:tcPr>
            <w:tcW w:w="2518" w:type="dxa"/>
            <w:tcBorders>
              <w:top w:val="single" w:sz="4" w:space="0" w:color="000000"/>
            </w:tcBorders>
          </w:tcPr>
          <w:p>
            <w:pPr>
              <w:pStyle w:val="Normal"/>
              <w:snapToGrid w:val="false"/>
              <w:spacing w:before="40" w:after="40"/>
              <w:rPr>
                <w:sz w:val="22"/>
              </w:rPr>
            </w:pPr>
            <w:r>
              <w:rPr>
                <w:sz w:val="22"/>
              </w:rPr>
            </w:r>
          </w:p>
        </w:tc>
        <w:tc>
          <w:tcPr>
            <w:tcW w:w="1134" w:type="dxa"/>
            <w:tcBorders>
              <w:top w:val="single" w:sz="4" w:space="0" w:color="000000"/>
            </w:tcBorders>
          </w:tcPr>
          <w:p>
            <w:pPr>
              <w:pStyle w:val="Normal"/>
              <w:spacing w:before="40" w:after="40"/>
              <w:jc w:val="center"/>
              <w:rPr>
                <w:sz w:val="22"/>
              </w:rPr>
            </w:pPr>
            <w:r>
              <w:rPr>
                <w:sz w:val="22"/>
              </w:rPr>
              <w:t>2001</w:t>
            </w:r>
          </w:p>
        </w:tc>
        <w:tc>
          <w:tcPr>
            <w:tcW w:w="1134" w:type="dxa"/>
            <w:tcBorders>
              <w:top w:val="single" w:sz="4" w:space="0" w:color="000000"/>
            </w:tcBorders>
          </w:tcPr>
          <w:p>
            <w:pPr>
              <w:pStyle w:val="Normal"/>
              <w:spacing w:before="40" w:after="40"/>
              <w:jc w:val="center"/>
              <w:rPr>
                <w:sz w:val="22"/>
              </w:rPr>
            </w:pPr>
            <w:r>
              <w:rPr>
                <w:sz w:val="22"/>
              </w:rPr>
              <w:t>2002</w:t>
            </w:r>
          </w:p>
        </w:tc>
        <w:tc>
          <w:tcPr>
            <w:tcW w:w="1276" w:type="dxa"/>
            <w:tcBorders>
              <w:top w:val="single" w:sz="4" w:space="0" w:color="000000"/>
            </w:tcBorders>
          </w:tcPr>
          <w:p>
            <w:pPr>
              <w:pStyle w:val="Normal"/>
              <w:spacing w:before="40" w:after="40"/>
              <w:jc w:val="center"/>
              <w:rPr>
                <w:sz w:val="22"/>
              </w:rPr>
            </w:pPr>
            <w:r>
              <w:rPr>
                <w:sz w:val="22"/>
              </w:rPr>
              <w:t>2003</w:t>
            </w:r>
          </w:p>
        </w:tc>
        <w:tc>
          <w:tcPr>
            <w:tcW w:w="1276" w:type="dxa"/>
            <w:tcBorders>
              <w:top w:val="single" w:sz="4" w:space="0" w:color="000000"/>
            </w:tcBorders>
          </w:tcPr>
          <w:p>
            <w:pPr>
              <w:pStyle w:val="Normal"/>
              <w:spacing w:before="40" w:after="40"/>
              <w:jc w:val="center"/>
              <w:rPr>
                <w:sz w:val="22"/>
              </w:rPr>
            </w:pPr>
            <w:r>
              <w:rPr>
                <w:sz w:val="22"/>
              </w:rPr>
              <w:t>Q1 2004</w:t>
            </w:r>
          </w:p>
        </w:tc>
        <w:tc>
          <w:tcPr>
            <w:tcW w:w="1182" w:type="dxa"/>
            <w:tcBorders>
              <w:top w:val="single" w:sz="4" w:space="0" w:color="000000"/>
            </w:tcBorders>
          </w:tcPr>
          <w:p>
            <w:pPr>
              <w:pStyle w:val="Normal"/>
              <w:spacing w:before="40" w:after="40"/>
              <w:jc w:val="center"/>
              <w:rPr>
                <w:sz w:val="22"/>
              </w:rPr>
            </w:pPr>
            <w:r>
              <w:rPr>
                <w:sz w:val="22"/>
              </w:rPr>
              <w:t>Q2 2004</w:t>
            </w:r>
          </w:p>
        </w:tc>
      </w:tr>
      <w:tr>
        <w:trPr/>
        <w:tc>
          <w:tcPr>
            <w:tcW w:w="2518" w:type="dxa"/>
            <w:tcBorders>
              <w:top w:val="single" w:sz="4" w:space="0" w:color="000000"/>
              <w:bottom w:val="single" w:sz="4" w:space="0" w:color="000000"/>
            </w:tcBorders>
          </w:tcPr>
          <w:p>
            <w:pPr>
              <w:pStyle w:val="Normal"/>
              <w:spacing w:before="40" w:after="40"/>
              <w:rPr>
                <w:sz w:val="22"/>
              </w:rPr>
            </w:pPr>
            <w:r>
              <w:rPr>
                <w:sz w:val="22"/>
              </w:rPr>
              <w:t>Total capacity</w:t>
            </w:r>
          </w:p>
        </w:tc>
        <w:tc>
          <w:tcPr>
            <w:tcW w:w="1134" w:type="dxa"/>
            <w:tcBorders>
              <w:top w:val="single" w:sz="4" w:space="0" w:color="000000"/>
              <w:bottom w:val="single" w:sz="4" w:space="0" w:color="000000"/>
            </w:tcBorders>
          </w:tcPr>
          <w:p>
            <w:pPr>
              <w:pStyle w:val="Normal"/>
              <w:spacing w:before="40" w:after="40"/>
              <w:jc w:val="center"/>
              <w:rPr>
                <w:sz w:val="22"/>
              </w:rPr>
            </w:pPr>
            <w:r>
              <w:rPr>
                <w:sz w:val="22"/>
              </w:rPr>
              <w:t>10.8</w:t>
            </w:r>
          </w:p>
        </w:tc>
        <w:tc>
          <w:tcPr>
            <w:tcW w:w="1134" w:type="dxa"/>
            <w:tcBorders>
              <w:top w:val="single" w:sz="4" w:space="0" w:color="000000"/>
              <w:bottom w:val="single" w:sz="4" w:space="0" w:color="000000"/>
            </w:tcBorders>
          </w:tcPr>
          <w:p>
            <w:pPr>
              <w:pStyle w:val="Normal"/>
              <w:spacing w:before="40" w:after="40"/>
              <w:jc w:val="center"/>
              <w:rPr>
                <w:sz w:val="22"/>
              </w:rPr>
            </w:pPr>
            <w:r>
              <w:rPr>
                <w:sz w:val="22"/>
              </w:rPr>
              <w:t>10.8</w:t>
            </w:r>
          </w:p>
        </w:tc>
        <w:tc>
          <w:tcPr>
            <w:tcW w:w="1276" w:type="dxa"/>
            <w:tcBorders>
              <w:top w:val="single" w:sz="4" w:space="0" w:color="000000"/>
              <w:bottom w:val="single" w:sz="4" w:space="0" w:color="000000"/>
            </w:tcBorders>
          </w:tcPr>
          <w:p>
            <w:pPr>
              <w:pStyle w:val="Normal"/>
              <w:spacing w:before="40" w:after="40"/>
              <w:jc w:val="center"/>
              <w:rPr>
                <w:sz w:val="22"/>
              </w:rPr>
            </w:pPr>
            <w:r>
              <w:rPr>
                <w:sz w:val="22"/>
              </w:rPr>
              <w:t>14.4</w:t>
            </w:r>
          </w:p>
        </w:tc>
        <w:tc>
          <w:tcPr>
            <w:tcW w:w="1276" w:type="dxa"/>
            <w:tcBorders>
              <w:top w:val="single" w:sz="4" w:space="0" w:color="000000"/>
              <w:bottom w:val="single" w:sz="4" w:space="0" w:color="000000"/>
            </w:tcBorders>
          </w:tcPr>
          <w:p>
            <w:pPr>
              <w:pStyle w:val="Normal"/>
              <w:spacing w:before="40" w:after="40"/>
              <w:jc w:val="center"/>
              <w:rPr>
                <w:sz w:val="22"/>
              </w:rPr>
            </w:pPr>
            <w:r>
              <w:rPr>
                <w:sz w:val="22"/>
              </w:rPr>
              <w:t>14.4</w:t>
            </w:r>
          </w:p>
        </w:tc>
        <w:tc>
          <w:tcPr>
            <w:tcW w:w="1182" w:type="dxa"/>
            <w:tcBorders>
              <w:top w:val="single" w:sz="4" w:space="0" w:color="000000"/>
              <w:bottom w:val="single" w:sz="4" w:space="0" w:color="000000"/>
            </w:tcBorders>
          </w:tcPr>
          <w:p>
            <w:pPr>
              <w:pStyle w:val="Normal"/>
              <w:spacing w:before="40" w:after="40"/>
              <w:jc w:val="center"/>
              <w:rPr>
                <w:sz w:val="22"/>
              </w:rPr>
            </w:pPr>
            <w:r>
              <w:rPr>
                <w:sz w:val="22"/>
              </w:rPr>
              <w:t>21.6</w:t>
            </w:r>
          </w:p>
        </w:tc>
      </w:tr>
      <w:tr>
        <w:trPr/>
        <w:tc>
          <w:tcPr>
            <w:tcW w:w="2518" w:type="dxa"/>
            <w:tcBorders/>
          </w:tcPr>
          <w:p>
            <w:pPr>
              <w:pStyle w:val="Normal"/>
              <w:spacing w:before="40" w:after="40"/>
              <w:rPr>
                <w:sz w:val="22"/>
              </w:rPr>
            </w:pPr>
            <w:r>
              <w:rPr>
                <w:sz w:val="22"/>
              </w:rPr>
              <w:t>Regulated market</w:t>
            </w:r>
          </w:p>
        </w:tc>
        <w:tc>
          <w:tcPr>
            <w:tcW w:w="1134" w:type="dxa"/>
            <w:tcBorders/>
          </w:tcPr>
          <w:p>
            <w:pPr>
              <w:pStyle w:val="Normal"/>
              <w:spacing w:before="40" w:after="40"/>
              <w:jc w:val="center"/>
              <w:rPr>
                <w:sz w:val="22"/>
              </w:rPr>
            </w:pPr>
            <w:r>
              <w:rPr>
                <w:sz w:val="22"/>
              </w:rPr>
              <w:t>0.7</w:t>
            </w:r>
          </w:p>
        </w:tc>
        <w:tc>
          <w:tcPr>
            <w:tcW w:w="1134" w:type="dxa"/>
            <w:tcBorders/>
          </w:tcPr>
          <w:p>
            <w:pPr>
              <w:pStyle w:val="Normal"/>
              <w:spacing w:before="40" w:after="40"/>
              <w:jc w:val="center"/>
              <w:rPr>
                <w:sz w:val="22"/>
              </w:rPr>
            </w:pPr>
            <w:r>
              <w:rPr>
                <w:sz w:val="22"/>
              </w:rPr>
              <w:t>0.6</w:t>
            </w:r>
          </w:p>
        </w:tc>
        <w:tc>
          <w:tcPr>
            <w:tcW w:w="1276" w:type="dxa"/>
            <w:tcBorders/>
          </w:tcPr>
          <w:p>
            <w:pPr>
              <w:pStyle w:val="Normal"/>
              <w:spacing w:before="40" w:after="40"/>
              <w:jc w:val="center"/>
              <w:rPr>
                <w:sz w:val="22"/>
              </w:rPr>
            </w:pPr>
            <w:r>
              <w:rPr>
                <w:sz w:val="22"/>
              </w:rPr>
              <w:t>0.4</w:t>
            </w:r>
          </w:p>
        </w:tc>
        <w:tc>
          <w:tcPr>
            <w:tcW w:w="1276" w:type="dxa"/>
            <w:tcBorders/>
          </w:tcPr>
          <w:p>
            <w:pPr>
              <w:pStyle w:val="Normal"/>
              <w:spacing w:before="40" w:after="40"/>
              <w:jc w:val="center"/>
              <w:rPr>
                <w:sz w:val="22"/>
              </w:rPr>
            </w:pPr>
            <w:r>
              <w:rPr>
                <w:sz w:val="22"/>
              </w:rPr>
              <w:t>0.4</w:t>
            </w:r>
          </w:p>
        </w:tc>
        <w:tc>
          <w:tcPr>
            <w:tcW w:w="1182" w:type="dxa"/>
            <w:tcBorders/>
          </w:tcPr>
          <w:p>
            <w:pPr>
              <w:pStyle w:val="Normal"/>
              <w:spacing w:before="40" w:after="40"/>
              <w:jc w:val="center"/>
              <w:rPr>
                <w:sz w:val="22"/>
              </w:rPr>
            </w:pPr>
            <w:r>
              <w:rPr>
                <w:sz w:val="22"/>
              </w:rPr>
              <w:t>0.4</w:t>
            </w:r>
          </w:p>
        </w:tc>
      </w:tr>
      <w:tr>
        <w:trPr/>
        <w:tc>
          <w:tcPr>
            <w:tcW w:w="2518" w:type="dxa"/>
            <w:tcBorders/>
          </w:tcPr>
          <w:p>
            <w:pPr>
              <w:pStyle w:val="Normal"/>
              <w:spacing w:before="40" w:after="40"/>
              <w:rPr>
                <w:sz w:val="22"/>
              </w:rPr>
            </w:pPr>
            <w:r>
              <w:rPr>
                <w:sz w:val="22"/>
              </w:rPr>
              <w:t>ATR market</w:t>
            </w:r>
          </w:p>
        </w:tc>
        <w:tc>
          <w:tcPr>
            <w:tcW w:w="1134" w:type="dxa"/>
            <w:tcBorders/>
          </w:tcPr>
          <w:p>
            <w:pPr>
              <w:pStyle w:val="Normal"/>
              <w:spacing w:before="40" w:after="40"/>
              <w:jc w:val="center"/>
              <w:rPr>
                <w:sz w:val="22"/>
              </w:rPr>
            </w:pPr>
            <w:r>
              <w:rPr>
                <w:sz w:val="22"/>
              </w:rPr>
              <w:t>8.6</w:t>
            </w:r>
          </w:p>
        </w:tc>
        <w:tc>
          <w:tcPr>
            <w:tcW w:w="1134" w:type="dxa"/>
            <w:tcBorders/>
          </w:tcPr>
          <w:p>
            <w:pPr>
              <w:pStyle w:val="Normal"/>
              <w:spacing w:before="40" w:after="40"/>
              <w:jc w:val="center"/>
              <w:rPr>
                <w:sz w:val="22"/>
              </w:rPr>
            </w:pPr>
            <w:r>
              <w:rPr>
                <w:sz w:val="22"/>
              </w:rPr>
              <w:t>8.7</w:t>
            </w:r>
          </w:p>
        </w:tc>
        <w:tc>
          <w:tcPr>
            <w:tcW w:w="1276" w:type="dxa"/>
            <w:tcBorders/>
          </w:tcPr>
          <w:p>
            <w:pPr>
              <w:pStyle w:val="Normal"/>
              <w:spacing w:before="40" w:after="40"/>
              <w:jc w:val="center"/>
              <w:rPr>
                <w:sz w:val="22"/>
              </w:rPr>
            </w:pPr>
            <w:r>
              <w:rPr>
                <w:sz w:val="22"/>
              </w:rPr>
              <w:t>9.3</w:t>
            </w:r>
          </w:p>
        </w:tc>
        <w:tc>
          <w:tcPr>
            <w:tcW w:w="1276" w:type="dxa"/>
            <w:tcBorders/>
          </w:tcPr>
          <w:p>
            <w:pPr>
              <w:pStyle w:val="Normal"/>
              <w:spacing w:before="40" w:after="40"/>
              <w:jc w:val="center"/>
              <w:rPr>
                <w:sz w:val="22"/>
              </w:rPr>
            </w:pPr>
            <w:r>
              <w:rPr>
                <w:sz w:val="22"/>
              </w:rPr>
              <w:t>9.3</w:t>
            </w:r>
          </w:p>
        </w:tc>
        <w:tc>
          <w:tcPr>
            <w:tcW w:w="1182" w:type="dxa"/>
            <w:tcBorders/>
          </w:tcPr>
          <w:p>
            <w:pPr>
              <w:pStyle w:val="Normal"/>
              <w:spacing w:before="40" w:after="40"/>
              <w:jc w:val="center"/>
              <w:rPr>
                <w:sz w:val="22"/>
              </w:rPr>
            </w:pPr>
            <w:r>
              <w:rPr>
                <w:sz w:val="22"/>
              </w:rPr>
              <w:t>9.3</w:t>
            </w:r>
          </w:p>
        </w:tc>
      </w:tr>
      <w:tr>
        <w:trPr/>
        <w:tc>
          <w:tcPr>
            <w:tcW w:w="2518" w:type="dxa"/>
            <w:tcBorders/>
          </w:tcPr>
          <w:p>
            <w:pPr>
              <w:pStyle w:val="Normal"/>
              <w:spacing w:before="40" w:after="40"/>
              <w:rPr>
                <w:sz w:val="18"/>
              </w:rPr>
            </w:pPr>
            <w:r>
              <w:rPr>
                <w:sz w:val="18"/>
              </w:rPr>
              <w:tab/>
              <w:t>- cc</w:t>
            </w:r>
          </w:p>
        </w:tc>
        <w:tc>
          <w:tcPr>
            <w:tcW w:w="1134" w:type="dxa"/>
            <w:tcBorders/>
          </w:tcPr>
          <w:p>
            <w:pPr>
              <w:pStyle w:val="Normal"/>
              <w:spacing w:before="40" w:after="40"/>
              <w:jc w:val="center"/>
              <w:rPr>
                <w:sz w:val="18"/>
              </w:rPr>
            </w:pPr>
            <w:r>
              <w:rPr>
                <w:sz w:val="18"/>
              </w:rPr>
              <w:t>3.1</w:t>
            </w:r>
          </w:p>
        </w:tc>
        <w:tc>
          <w:tcPr>
            <w:tcW w:w="1134" w:type="dxa"/>
            <w:tcBorders/>
          </w:tcPr>
          <w:p>
            <w:pPr>
              <w:pStyle w:val="Normal"/>
              <w:spacing w:before="40" w:after="40"/>
              <w:jc w:val="center"/>
              <w:rPr>
                <w:sz w:val="18"/>
              </w:rPr>
            </w:pPr>
            <w:r>
              <w:rPr>
                <w:sz w:val="18"/>
              </w:rPr>
              <w:t>3.1</w:t>
            </w:r>
          </w:p>
        </w:tc>
        <w:tc>
          <w:tcPr>
            <w:tcW w:w="1276" w:type="dxa"/>
            <w:tcBorders/>
          </w:tcPr>
          <w:p>
            <w:pPr>
              <w:pStyle w:val="Normal"/>
              <w:spacing w:before="40" w:after="40"/>
              <w:jc w:val="center"/>
              <w:rPr>
                <w:sz w:val="18"/>
              </w:rPr>
            </w:pPr>
            <w:r>
              <w:rPr>
                <w:sz w:val="18"/>
              </w:rPr>
              <w:t>3.1</w:t>
            </w:r>
          </w:p>
        </w:tc>
        <w:tc>
          <w:tcPr>
            <w:tcW w:w="1276" w:type="dxa"/>
            <w:tcBorders/>
          </w:tcPr>
          <w:p>
            <w:pPr>
              <w:pStyle w:val="Normal"/>
              <w:spacing w:before="40" w:after="40"/>
              <w:jc w:val="center"/>
              <w:rPr>
                <w:sz w:val="18"/>
              </w:rPr>
            </w:pPr>
            <w:r>
              <w:rPr>
                <w:sz w:val="18"/>
              </w:rPr>
              <w:t>3.1</w:t>
            </w:r>
          </w:p>
        </w:tc>
        <w:tc>
          <w:tcPr>
            <w:tcW w:w="1182" w:type="dxa"/>
            <w:tcBorders/>
          </w:tcPr>
          <w:p>
            <w:pPr>
              <w:pStyle w:val="Normal"/>
              <w:spacing w:before="40" w:after="40"/>
              <w:jc w:val="center"/>
              <w:rPr>
                <w:sz w:val="18"/>
              </w:rPr>
            </w:pPr>
            <w:r>
              <w:rPr>
                <w:sz w:val="18"/>
              </w:rPr>
              <w:t>3.1</w:t>
            </w:r>
          </w:p>
        </w:tc>
      </w:tr>
      <w:tr>
        <w:trPr/>
        <w:tc>
          <w:tcPr>
            <w:tcW w:w="2518" w:type="dxa"/>
            <w:tcBorders/>
          </w:tcPr>
          <w:p>
            <w:pPr>
              <w:pStyle w:val="Normal"/>
              <w:spacing w:before="40" w:after="40"/>
              <w:rPr>
                <w:sz w:val="18"/>
              </w:rPr>
            </w:pPr>
            <w:r>
              <w:rPr>
                <w:sz w:val="18"/>
              </w:rPr>
              <w:tab/>
              <w:t>conventional</w:t>
            </w:r>
          </w:p>
        </w:tc>
        <w:tc>
          <w:tcPr>
            <w:tcW w:w="1134" w:type="dxa"/>
            <w:tcBorders/>
          </w:tcPr>
          <w:p>
            <w:pPr>
              <w:pStyle w:val="Normal"/>
              <w:spacing w:before="40" w:after="40"/>
              <w:jc w:val="center"/>
              <w:rPr>
                <w:sz w:val="18"/>
              </w:rPr>
            </w:pPr>
            <w:r>
              <w:rPr>
                <w:sz w:val="18"/>
              </w:rPr>
              <w:t>5.5</w:t>
            </w:r>
          </w:p>
        </w:tc>
        <w:tc>
          <w:tcPr>
            <w:tcW w:w="1134" w:type="dxa"/>
            <w:tcBorders/>
          </w:tcPr>
          <w:p>
            <w:pPr>
              <w:pStyle w:val="Normal"/>
              <w:spacing w:before="40" w:after="40"/>
              <w:jc w:val="center"/>
              <w:rPr>
                <w:sz w:val="18"/>
              </w:rPr>
            </w:pPr>
            <w:r>
              <w:rPr>
                <w:sz w:val="18"/>
              </w:rPr>
              <w:t>5.6</w:t>
            </w:r>
          </w:p>
        </w:tc>
        <w:tc>
          <w:tcPr>
            <w:tcW w:w="1276" w:type="dxa"/>
            <w:tcBorders/>
          </w:tcPr>
          <w:p>
            <w:pPr>
              <w:pStyle w:val="Normal"/>
              <w:spacing w:before="40" w:after="40"/>
              <w:jc w:val="center"/>
              <w:rPr>
                <w:sz w:val="18"/>
              </w:rPr>
            </w:pPr>
            <w:r>
              <w:rPr>
                <w:sz w:val="18"/>
              </w:rPr>
              <w:t>6.2</w:t>
            </w:r>
          </w:p>
        </w:tc>
        <w:tc>
          <w:tcPr>
            <w:tcW w:w="1276" w:type="dxa"/>
            <w:tcBorders/>
          </w:tcPr>
          <w:p>
            <w:pPr>
              <w:pStyle w:val="Normal"/>
              <w:spacing w:before="40" w:after="40"/>
              <w:jc w:val="center"/>
              <w:rPr>
                <w:sz w:val="18"/>
              </w:rPr>
            </w:pPr>
            <w:r>
              <w:rPr>
                <w:sz w:val="18"/>
              </w:rPr>
              <w:t>6.2</w:t>
            </w:r>
          </w:p>
        </w:tc>
        <w:tc>
          <w:tcPr>
            <w:tcW w:w="1182" w:type="dxa"/>
            <w:tcBorders/>
          </w:tcPr>
          <w:p>
            <w:pPr>
              <w:pStyle w:val="Normal"/>
              <w:spacing w:before="40" w:after="40"/>
              <w:jc w:val="center"/>
              <w:rPr>
                <w:sz w:val="18"/>
              </w:rPr>
            </w:pPr>
            <w:r>
              <w:rPr>
                <w:sz w:val="18"/>
              </w:rPr>
              <w:t>6.2</w:t>
            </w:r>
          </w:p>
        </w:tc>
      </w:tr>
      <w:tr>
        <w:trPr/>
        <w:tc>
          <w:tcPr>
            <w:tcW w:w="2518" w:type="dxa"/>
            <w:tcBorders/>
          </w:tcPr>
          <w:p>
            <w:pPr>
              <w:pStyle w:val="Normal"/>
              <w:spacing w:before="40" w:after="40"/>
              <w:rPr>
                <w:sz w:val="22"/>
              </w:rPr>
            </w:pPr>
            <w:r>
              <w:rPr>
                <w:sz w:val="22"/>
              </w:rPr>
              <w:t>Transgás</w:t>
            </w:r>
          </w:p>
        </w:tc>
        <w:tc>
          <w:tcPr>
            <w:tcW w:w="1134" w:type="dxa"/>
            <w:tcBorders/>
          </w:tcPr>
          <w:p>
            <w:pPr>
              <w:pStyle w:val="Normal"/>
              <w:spacing w:before="40" w:after="40"/>
              <w:jc w:val="center"/>
              <w:rPr>
                <w:sz w:val="22"/>
              </w:rPr>
            </w:pPr>
            <w:r>
              <w:rPr>
                <w:sz w:val="22"/>
              </w:rPr>
              <w:t>1.5</w:t>
            </w:r>
          </w:p>
        </w:tc>
        <w:tc>
          <w:tcPr>
            <w:tcW w:w="1134" w:type="dxa"/>
            <w:tcBorders/>
          </w:tcPr>
          <w:p>
            <w:pPr>
              <w:pStyle w:val="Normal"/>
              <w:spacing w:before="40" w:after="40"/>
              <w:jc w:val="center"/>
              <w:rPr>
                <w:sz w:val="22"/>
              </w:rPr>
            </w:pPr>
            <w:r>
              <w:rPr>
                <w:sz w:val="22"/>
              </w:rPr>
              <w:t>1.5</w:t>
            </w:r>
          </w:p>
        </w:tc>
        <w:tc>
          <w:tcPr>
            <w:tcW w:w="1276" w:type="dxa"/>
            <w:tcBorders/>
          </w:tcPr>
          <w:p>
            <w:pPr>
              <w:pStyle w:val="Normal"/>
              <w:spacing w:before="40" w:after="40"/>
              <w:jc w:val="center"/>
              <w:rPr>
                <w:sz w:val="22"/>
              </w:rPr>
            </w:pPr>
            <w:r>
              <w:rPr>
                <w:sz w:val="22"/>
              </w:rPr>
              <w:t>1.5</w:t>
            </w:r>
          </w:p>
        </w:tc>
        <w:tc>
          <w:tcPr>
            <w:tcW w:w="1276" w:type="dxa"/>
            <w:tcBorders/>
          </w:tcPr>
          <w:p>
            <w:pPr>
              <w:pStyle w:val="Normal"/>
              <w:spacing w:before="40" w:after="40"/>
              <w:jc w:val="center"/>
              <w:rPr>
                <w:sz w:val="22"/>
              </w:rPr>
            </w:pPr>
            <w:r>
              <w:rPr>
                <w:sz w:val="22"/>
              </w:rPr>
              <w:t>1.5</w:t>
            </w:r>
          </w:p>
        </w:tc>
        <w:tc>
          <w:tcPr>
            <w:tcW w:w="1182" w:type="dxa"/>
            <w:tcBorders/>
          </w:tcPr>
          <w:p>
            <w:pPr>
              <w:pStyle w:val="Normal"/>
              <w:spacing w:before="40" w:after="40"/>
              <w:jc w:val="center"/>
              <w:rPr>
                <w:sz w:val="22"/>
              </w:rPr>
            </w:pPr>
            <w:r>
              <w:rPr>
                <w:sz w:val="22"/>
              </w:rPr>
              <w:t>1.5</w:t>
            </w:r>
          </w:p>
        </w:tc>
      </w:tr>
      <w:tr>
        <w:trPr/>
        <w:tc>
          <w:tcPr>
            <w:tcW w:w="2518" w:type="dxa"/>
            <w:tcBorders>
              <w:top w:val="single" w:sz="4" w:space="0" w:color="000000"/>
              <w:bottom w:val="single" w:sz="4" w:space="0" w:color="000000"/>
            </w:tcBorders>
          </w:tcPr>
          <w:p>
            <w:pPr>
              <w:pStyle w:val="Normal"/>
              <w:spacing w:before="40" w:after="40"/>
              <w:rPr>
                <w:sz w:val="22"/>
              </w:rPr>
            </w:pPr>
            <w:r>
              <w:rPr>
                <w:sz w:val="22"/>
              </w:rPr>
              <w:t>Remaining</w:t>
            </w:r>
          </w:p>
        </w:tc>
        <w:tc>
          <w:tcPr>
            <w:tcW w:w="1134" w:type="dxa"/>
            <w:tcBorders>
              <w:top w:val="single" w:sz="4" w:space="0" w:color="000000"/>
              <w:bottom w:val="single" w:sz="4" w:space="0" w:color="000000"/>
            </w:tcBorders>
          </w:tcPr>
          <w:p>
            <w:pPr>
              <w:pStyle w:val="Normal"/>
              <w:spacing w:before="40" w:after="40"/>
              <w:jc w:val="center"/>
              <w:rPr>
                <w:sz w:val="22"/>
              </w:rPr>
            </w:pPr>
            <w:r>
              <w:rPr>
                <w:sz w:val="22"/>
              </w:rPr>
              <w:t>0.0</w:t>
            </w:r>
          </w:p>
        </w:tc>
        <w:tc>
          <w:tcPr>
            <w:tcW w:w="1134" w:type="dxa"/>
            <w:tcBorders>
              <w:top w:val="single" w:sz="4" w:space="0" w:color="000000"/>
              <w:bottom w:val="single" w:sz="4" w:space="0" w:color="000000"/>
            </w:tcBorders>
          </w:tcPr>
          <w:p>
            <w:pPr>
              <w:pStyle w:val="Normal"/>
              <w:spacing w:before="40" w:after="40"/>
              <w:jc w:val="center"/>
              <w:rPr>
                <w:sz w:val="22"/>
              </w:rPr>
            </w:pPr>
            <w:r>
              <w:rPr>
                <w:sz w:val="22"/>
              </w:rPr>
              <w:t>0.0</w:t>
            </w:r>
          </w:p>
        </w:tc>
        <w:tc>
          <w:tcPr>
            <w:tcW w:w="1276" w:type="dxa"/>
            <w:tcBorders>
              <w:top w:val="single" w:sz="4" w:space="0" w:color="000000"/>
              <w:bottom w:val="single" w:sz="4" w:space="0" w:color="000000"/>
            </w:tcBorders>
          </w:tcPr>
          <w:p>
            <w:pPr>
              <w:pStyle w:val="Normal"/>
              <w:spacing w:before="40" w:after="40"/>
              <w:jc w:val="center"/>
              <w:rPr>
                <w:sz w:val="22"/>
              </w:rPr>
            </w:pPr>
            <w:r>
              <w:rPr>
                <w:sz w:val="22"/>
              </w:rPr>
              <w:t>3.2</w:t>
            </w:r>
          </w:p>
        </w:tc>
        <w:tc>
          <w:tcPr>
            <w:tcW w:w="1276" w:type="dxa"/>
            <w:tcBorders>
              <w:top w:val="single" w:sz="4" w:space="0" w:color="000000"/>
              <w:bottom w:val="single" w:sz="4" w:space="0" w:color="000000"/>
            </w:tcBorders>
          </w:tcPr>
          <w:p>
            <w:pPr>
              <w:pStyle w:val="Normal"/>
              <w:spacing w:before="40" w:after="40"/>
              <w:jc w:val="center"/>
              <w:rPr>
                <w:sz w:val="22"/>
              </w:rPr>
            </w:pPr>
            <w:r>
              <w:rPr>
                <w:sz w:val="22"/>
              </w:rPr>
              <w:t>3.2</w:t>
            </w:r>
          </w:p>
        </w:tc>
        <w:tc>
          <w:tcPr>
            <w:tcW w:w="1182" w:type="dxa"/>
            <w:tcBorders>
              <w:top w:val="single" w:sz="4" w:space="0" w:color="000000"/>
              <w:bottom w:val="single" w:sz="4" w:space="0" w:color="000000"/>
            </w:tcBorders>
          </w:tcPr>
          <w:p>
            <w:pPr>
              <w:pStyle w:val="Normal"/>
              <w:spacing w:before="40" w:after="40"/>
              <w:jc w:val="center"/>
              <w:rPr>
                <w:sz w:val="22"/>
              </w:rPr>
            </w:pPr>
            <w:r>
              <w:rPr>
                <w:sz w:val="22"/>
              </w:rPr>
              <w:t>10.4</w:t>
            </w:r>
          </w:p>
        </w:tc>
      </w:tr>
    </w:tbl>
    <w:p>
      <w:pPr>
        <w:pStyle w:val="Normal"/>
        <w:rPr/>
      </w:pPr>
      <w:r>
        <w:rPr>
          <w:sz w:val="18"/>
        </w:rPr>
        <w:t>Until the commissioning of the new Huelva-Córdoba gas pipeline, the transportation capacity of the existing Huelva-Seville section is 9.0 Mm</w:t>
      </w:r>
      <w:r>
        <w:rPr>
          <w:sz w:val="18"/>
          <w:vertAlign w:val="superscript"/>
        </w:rPr>
        <w:t>3</w:t>
      </w:r>
      <w:r>
        <w:rPr>
          <w:sz w:val="18"/>
        </w:rPr>
        <w:t>(n)/day, and from 2003 until the second quarter of 2004, it will only be possible to use the entire regasification capacity if two 400 MW modules are installed in the vicinity of the Huelva plant.</w:t>
      </w:r>
    </w:p>
    <w:p>
      <w:pPr>
        <w:pStyle w:val="Normal"/>
        <w:jc w:val="center"/>
        <w:rPr/>
      </w:pPr>
      <w:r>
        <w:rPr>
          <w:sz w:val="22"/>
        </w:rPr>
        <w:t>Table 2: Existing and reserved capacity of the Huelva plant. Analysis from February 2001. Units in Mm</w:t>
      </w:r>
      <w:r>
        <w:rPr>
          <w:sz w:val="22"/>
          <w:vertAlign w:val="superscript"/>
        </w:rPr>
        <w:t>3</w:t>
      </w:r>
      <w:r>
        <w:rPr>
          <w:sz w:val="22"/>
        </w:rPr>
        <w:t>(n)/day</w:t>
      </w:r>
    </w:p>
    <w:p>
      <w:pPr>
        <w:pStyle w:val="Normal"/>
        <w:ind w:start="720" w:end="0"/>
        <w:rPr/>
      </w:pPr>
      <w:r>
        <w:rPr>
          <w:sz w:val="22"/>
        </w:rPr>
        <w:t xml:space="preserve">The data provided by Enagas, S.A., highlight the lack of capacity available or remaining during the years 2001 and 2002 in the Huelva plant, due essentially to the Third Party Network Access (ATR) contracts concluded to date. </w:t>
      </w:r>
      <w:r>
        <w:rPr>
          <w:b/>
          <w:sz w:val="22"/>
        </w:rPr>
        <w:t>From the year 2003, there will be remaining capacity, but it will not be possible to use it unless two 400 MW modules are installed near the Huelva plant</w:t>
      </w:r>
      <w:r>
        <w:rPr>
          <w:sz w:val="22"/>
        </w:rPr>
        <w:t>. This is due to the transportation problems with respect to the Huelva-Seville gas pipeline, for which a duplicate pipeline is envisaged, which new pipeline will commence operation in the second quarter of the year 2004.</w:t>
      </w:r>
      <w:r>
        <w:br w:type="page"/>
      </w:r>
    </w:p>
    <w:p>
      <w:pPr>
        <w:pStyle w:val="Normal"/>
        <w:ind w:start="720" w:end="0"/>
        <w:rPr/>
      </w:pPr>
      <w:r>
        <w:rPr>
          <w:sz w:val="22"/>
        </w:rPr>
        <w:t>At this point, we should make a note of the location of demand and therefore of the combined cycle plants envisaged by Enagas, S.A., in the area. The level of demand of a combined cycle plant depends on the number of generators that it comprises. Typically, as is the case in Spain, generators are 400 MW in size, with the number of generators making up a plant varying between one and three. The gas consumption of a 400 MW generator is in the region of 0.5 bcm/year (flow volume of 1.5 Mm</w:t>
      </w:r>
      <w:r>
        <w:rPr>
          <w:sz w:val="22"/>
          <w:vertAlign w:val="superscript"/>
        </w:rPr>
        <w:t>3</w:t>
      </w:r>
      <w:r>
        <w:rPr>
          <w:sz w:val="22"/>
        </w:rPr>
        <w:t>(n)/day, with 7,700 hours use on an annual basis).</w:t>
      </w:r>
    </w:p>
    <w:p>
      <w:pPr>
        <w:pStyle w:val="Normal"/>
        <w:ind w:start="720" w:end="0"/>
        <w:rPr>
          <w:sz w:val="22"/>
        </w:rPr>
      </w:pPr>
      <w:r>
        <w:rPr>
          <w:sz w:val="22"/>
        </w:rPr>
        <w:t>As the total national demand in the past year was 16.9 bcm, the 0.5 bcm consumption of a single generator is a significant percentage of the national total: 3%.</w:t>
      </w:r>
    </w:p>
    <w:p>
      <w:pPr>
        <w:pStyle w:val="Normal"/>
        <w:ind w:start="720" w:end="0"/>
        <w:rPr>
          <w:sz w:val="22"/>
        </w:rPr>
      </w:pPr>
      <w:r>
        <w:rPr>
          <w:sz w:val="22"/>
        </w:rPr>
        <w:t>Furthermore, given the large number of generators envisaged for entry into service in the short term, there is an immediate need to adapt the infrastructure of the gas system so as to enable this considerable increase in demand to be accommodated.</w:t>
      </w:r>
    </w:p>
    <w:p>
      <w:pPr>
        <w:pStyle w:val="Normal"/>
        <w:ind w:start="720" w:end="0"/>
        <w:rPr/>
      </w:pPr>
      <w:r>
        <w:rPr>
          <w:sz w:val="22"/>
        </w:rPr>
        <w:t xml:space="preserve">In this respect, this Commission cannot fail to </w:t>
      </w:r>
      <w:r>
        <w:rPr>
          <w:b/>
          <w:sz w:val="22"/>
        </w:rPr>
        <w:t>recognise the problems resulting from delays in the construction of the necessary infrastructures</w:t>
      </w:r>
      <w:r>
        <w:rPr>
          <w:sz w:val="22"/>
        </w:rPr>
        <w:t>. According to the documentation sent by Enagas, S.A., in the area serviced by the plant, ie in the West of Haro sub-system, it will be possible to accommodate three cycles in the year 2002 and four in the year 2003 and the first quarter of 2004. With respect to these cycles, in the year 2003, at least one of them will be required to be in the vicinity of Huelva, and in the year 2004, at least two of them will be required to be in the vicinity of Huelva, given that the Huelva-Córdoba gas pipeline is limited in terms of transportation capacity and its duplicate pipeline is expected to enter into operation in the second quarter of 2004.</w:t>
      </w:r>
    </w:p>
    <w:p>
      <w:pPr>
        <w:pStyle w:val="Normal"/>
        <w:ind w:start="720" w:end="0"/>
        <w:rPr/>
      </w:pPr>
      <w:r>
        <w:rPr>
          <w:sz w:val="22"/>
        </w:rPr>
        <w:t xml:space="preserve">Prior to the date of the formal application by Enron España Energía, S.L., </w:t>
      </w:r>
      <w:r>
        <w:rPr>
          <w:b/>
          <w:sz w:val="22"/>
        </w:rPr>
        <w:t>two contracts for combined cycle plants</w:t>
      </w:r>
      <w:r>
        <w:rPr>
          <w:sz w:val="22"/>
        </w:rPr>
        <w:t xml:space="preserve"> were signed </w:t>
      </w:r>
      <w:r>
        <w:rPr>
          <w:b/>
          <w:sz w:val="22"/>
        </w:rPr>
        <w:t>in the area serviced</w:t>
      </w:r>
      <w:r>
        <w:rPr>
          <w:sz w:val="22"/>
        </w:rPr>
        <w:t xml:space="preserve">: 400 MW by </w:t>
      </w:r>
      <w:r>
        <w:rPr>
          <w:b/>
          <w:sz w:val="22"/>
        </w:rPr>
        <w:t>Endesa</w:t>
      </w:r>
      <w:r>
        <w:rPr>
          <w:sz w:val="22"/>
        </w:rPr>
        <w:t xml:space="preserve"> and 400 MW by </w:t>
      </w:r>
      <w:r>
        <w:rPr>
          <w:b/>
          <w:sz w:val="22"/>
        </w:rPr>
        <w:t>Gas Natural</w:t>
      </w:r>
      <w:r>
        <w:rPr>
          <w:sz w:val="22"/>
        </w:rPr>
        <w:t xml:space="preserve"> at San Roque. Therefore, only from the second quarter of 2004 will there exist in theory capacity available to accommodate the demand requested by Enron in Arcos de Frontera (Cádiz).</w:t>
      </w:r>
    </w:p>
    <w:p>
      <w:pPr>
        <w:pStyle w:val="Normal"/>
        <w:ind w:start="720" w:end="0"/>
        <w:rPr/>
      </w:pPr>
      <w:r>
        <w:rPr>
          <w:sz w:val="22"/>
        </w:rPr>
        <w:t xml:space="preserve">Thus Enron España Energía, S.L., states in its </w:t>
      </w:r>
      <w:r>
        <w:rPr>
          <w:b/>
          <w:sz w:val="22"/>
        </w:rPr>
        <w:t>Pleading Three</w:t>
      </w:r>
      <w:r>
        <w:rPr>
          <w:sz w:val="22"/>
        </w:rPr>
        <w:t xml:space="preserve"> that the review of the forecasts for change in demand in the West of Haro system carried out in February 2001 is not based on a convincing hypothesis and analysis.</w:t>
      </w:r>
    </w:p>
    <w:p>
      <w:pPr>
        <w:pStyle w:val="Normal"/>
        <w:ind w:start="720" w:end="0"/>
        <w:rPr/>
      </w:pPr>
      <w:r>
        <w:rPr>
          <w:sz w:val="22"/>
        </w:rPr>
        <w:t>Enagas, S.A. justifies the revision of February 2001 by “</w:t>
      </w:r>
      <w:r>
        <w:rPr>
          <w:i/>
          <w:sz w:val="22"/>
        </w:rPr>
        <w:t>the considerable increase in demand recorded throughout the year 2000</w:t>
      </w:r>
      <w:r>
        <w:rPr>
          <w:sz w:val="22"/>
        </w:rPr>
        <w:t>” and Enron España Energía, S.L. alleges that “</w:t>
      </w:r>
      <w:r>
        <w:rPr>
          <w:i/>
          <w:sz w:val="22"/>
        </w:rPr>
        <w:t>while it is true that in the year 2000 there was a considerable increase over 1999, this increase was already assumed and incorporated practically in its entirety in the analysis of May 2000 [analysis that did not reveal any problems] with respect to the forecasts for the period 2000-2005 for a very simple reason: the deviation between the forecast of May 2000 for 2000 (6.2 bcm/year) and the actual value (6.3 bcm/year) is negligible (1.6%)</w:t>
      </w:r>
      <w:r>
        <w:rPr>
          <w:sz w:val="22"/>
        </w:rPr>
        <w:t>”.</w:t>
      </w:r>
    </w:p>
    <w:p>
      <w:pPr>
        <w:pStyle w:val="BodyText"/>
        <w:ind w:start="720" w:end="0"/>
        <w:rPr>
          <w:lang w:val="en-GB"/>
        </w:rPr>
      </w:pPr>
      <w:r>
        <w:rPr>
          <w:lang w:val="en-GB"/>
        </w:rPr>
        <w:t>In any case, in this allegation, even if we accept the supposition of Enron España Energía, S.L. whereby the justification for the increase in demand in the year 2000 is questionable and if we accept the alternative procedures proposed by Enron España Energía, S.L. for calculation of this forecast demand, considering the basic scenario corrected by the compound increase of 1.6% would only allow for one further combined cycle plant in the years 2003-2004.</w:t>
      </w:r>
    </w:p>
    <w:p>
      <w:pPr>
        <w:pStyle w:val="Normal"/>
        <w:ind w:start="720" w:end="0"/>
        <w:rPr/>
      </w:pPr>
      <w:r>
        <w:rPr>
          <w:sz w:val="22"/>
        </w:rPr>
        <w:t xml:space="preserve">By way of clarification in this respect, Enron España Energía, S.L. asserts in its </w:t>
      </w:r>
      <w:r>
        <w:rPr>
          <w:b/>
          <w:sz w:val="22"/>
        </w:rPr>
        <w:t>Pleading Five</w:t>
      </w:r>
      <w:r>
        <w:rPr>
          <w:sz w:val="22"/>
        </w:rPr>
        <w:t xml:space="preserve"> that the </w:t>
      </w:r>
      <w:r>
        <w:rPr>
          <w:b/>
          <w:sz w:val="22"/>
        </w:rPr>
        <w:t>forecast demand</w:t>
      </w:r>
      <w:r>
        <w:rPr>
          <w:sz w:val="22"/>
        </w:rPr>
        <w:t xml:space="preserve"> in the conventional market arrived at by Enagas is not reliable. It refers here to the projections for May 2000 that the Managing Director for the Grupo Gas Natural presented in the May 2000 edition of the magazine SEDIAS Gas Actual and that differed considerably from the projections of Enagas, S.A., for May 2000.</w:t>
      </w:r>
      <w:r>
        <w:br w:type="page"/>
      </w:r>
    </w:p>
    <w:p>
      <w:pPr>
        <w:pStyle w:val="Normal"/>
        <w:ind w:start="720" w:end="0"/>
        <w:rPr>
          <w:sz w:val="22"/>
        </w:rPr>
      </w:pPr>
      <w:r>
        <w:rPr>
          <w:sz w:val="22"/>
        </w:rPr>
        <w:t>According to the Technical System Administrator, the demand forecasts used as a basis for the study analysing the formal application of Enron España Energía, S.L. were those of February 2001. In this respect, and even according to information provided by Enron in its document, the Technical System Administrator may consider it appropriate to revise demand forecasts at any time.</w:t>
      </w:r>
    </w:p>
    <w:p>
      <w:pPr>
        <w:pStyle w:val="Normal"/>
        <w:ind w:start="720" w:end="0"/>
        <w:rPr>
          <w:sz w:val="22"/>
        </w:rPr>
      </w:pPr>
      <w:r>
        <w:rPr>
          <w:sz w:val="22"/>
        </w:rPr>
        <w:t>In any case, it should be noted that the Technical System Administrator, as the party responsible for the technical management of the Basic Network and for secondary transportation, must guarantee the continuity and security of supply of natural gas and the correct co-ordination of access points, storage facilities, transportation and distribution. Therefore, it must provide in the short and medium term for the use of system installations, and for natural gas reserves, in accordance with demand forecasts. Given that all of these are future values and therefore uncertain, it is therefore questionable to refute forecasts for demand that the Administrator, as the party responsible for security, is required to make.</w:t>
      </w:r>
    </w:p>
    <w:p>
      <w:pPr>
        <w:pStyle w:val="Normal"/>
        <w:ind w:start="720" w:end="0"/>
        <w:rPr/>
      </w:pPr>
      <w:r>
        <w:rPr>
          <w:sz w:val="22"/>
        </w:rPr>
        <w:t xml:space="preserve">Furthermore, Enagas, in its document of 16 April, indicated its granting of priority in the allocation of capacity to the </w:t>
      </w:r>
      <w:r>
        <w:rPr>
          <w:b/>
          <w:sz w:val="22"/>
        </w:rPr>
        <w:t>conventional market</w:t>
      </w:r>
      <w:r>
        <w:rPr>
          <w:sz w:val="22"/>
        </w:rPr>
        <w:t xml:space="preserve"> (intended for domestic, commercial or industrial use) with respect to the demand intended for new plants for production of electricity.</w:t>
      </w:r>
    </w:p>
    <w:p>
      <w:pPr>
        <w:pStyle w:val="Normal"/>
        <w:ind w:start="720" w:end="0"/>
        <w:rPr/>
      </w:pPr>
      <w:r>
        <w:rPr>
          <w:sz w:val="22"/>
        </w:rPr>
        <w:t xml:space="preserve">In this respect, Enron España Energía, S.L., in its </w:t>
      </w:r>
      <w:r>
        <w:rPr>
          <w:b/>
          <w:sz w:val="22"/>
        </w:rPr>
        <w:t>Pleading Four</w:t>
      </w:r>
      <w:r>
        <w:rPr>
          <w:sz w:val="22"/>
        </w:rPr>
        <w:t>, states that “</w:t>
      </w:r>
      <w:r>
        <w:rPr>
          <w:i/>
          <w:sz w:val="22"/>
        </w:rPr>
        <w:t>the priority granted for conventional demand is based on an erroneous premise and lacks any legal basis</w:t>
      </w:r>
      <w:r>
        <w:rPr>
          <w:sz w:val="22"/>
        </w:rPr>
        <w:t>”.</w:t>
      </w:r>
    </w:p>
    <w:p>
      <w:pPr>
        <w:pStyle w:val="Normal"/>
        <w:ind w:start="720" w:end="0"/>
        <w:rPr/>
      </w:pPr>
      <w:r>
        <w:rPr>
          <w:sz w:val="22"/>
        </w:rPr>
        <w:t xml:space="preserve">According to Art. 74.a of </w:t>
      </w:r>
      <w:r>
        <w:rPr>
          <w:b/>
          <w:sz w:val="22"/>
        </w:rPr>
        <w:t>Law No. 34/1998</w:t>
      </w:r>
      <w:r>
        <w:rPr>
          <w:sz w:val="22"/>
        </w:rPr>
        <w:t>, dated 7 October 1998, relative to the hydrocarbons sector, “</w:t>
      </w:r>
      <w:r>
        <w:rPr>
          <w:i/>
          <w:sz w:val="22"/>
        </w:rPr>
        <w:t xml:space="preserve">The </w:t>
      </w:r>
      <w:r>
        <w:rPr>
          <w:b/>
          <w:i/>
          <w:sz w:val="22"/>
        </w:rPr>
        <w:t>obligations</w:t>
      </w:r>
      <w:r>
        <w:rPr>
          <w:i/>
          <w:sz w:val="22"/>
        </w:rPr>
        <w:t xml:space="preserve"> of natural gas </w:t>
      </w:r>
      <w:r>
        <w:rPr>
          <w:b/>
          <w:i/>
          <w:sz w:val="22"/>
        </w:rPr>
        <w:t>distributors</w:t>
      </w:r>
      <w:r>
        <w:rPr>
          <w:i/>
          <w:sz w:val="22"/>
        </w:rPr>
        <w:t xml:space="preserve"> will be: a) Effecting </w:t>
      </w:r>
      <w:r>
        <w:rPr>
          <w:b/>
          <w:i/>
          <w:sz w:val="22"/>
        </w:rPr>
        <w:t>tariff-based supply</w:t>
      </w:r>
      <w:r>
        <w:rPr>
          <w:i/>
          <w:sz w:val="22"/>
        </w:rPr>
        <w:t xml:space="preserve"> to any person applying for such supply and extending this to any subscriber requesting this, always provided that capacity exists therefor</w:t>
      </w:r>
      <w:r>
        <w:rPr>
          <w:sz w:val="22"/>
        </w:rPr>
        <w:t>”. And according to Art. 70.3, relative to access to transportation networks, “</w:t>
      </w:r>
      <w:r>
        <w:rPr>
          <w:i/>
          <w:sz w:val="22"/>
        </w:rPr>
        <w:t xml:space="preserve">Access to the network may be denied in the case of insufficient capacity or where the access to the network would make it impossible to fulfil the </w:t>
      </w:r>
      <w:r>
        <w:rPr>
          <w:b/>
          <w:i/>
          <w:sz w:val="22"/>
        </w:rPr>
        <w:t>supply obligations</w:t>
      </w:r>
      <w:r>
        <w:rPr>
          <w:i/>
          <w:sz w:val="22"/>
        </w:rPr>
        <w:t xml:space="preserve"> that have been imposed</w:t>
      </w:r>
      <w:r>
        <w:rPr>
          <w:sz w:val="22"/>
        </w:rPr>
        <w:t>”.</w:t>
      </w:r>
    </w:p>
    <w:p>
      <w:pPr>
        <w:pStyle w:val="Normal"/>
        <w:ind w:start="720" w:end="0"/>
        <w:rPr/>
      </w:pPr>
      <w:r>
        <w:rPr>
          <w:sz w:val="22"/>
        </w:rPr>
        <w:t>The “</w:t>
      </w:r>
      <w:r>
        <w:rPr>
          <w:i/>
          <w:sz w:val="22"/>
        </w:rPr>
        <w:t>supply obligations</w:t>
      </w:r>
      <w:r>
        <w:rPr>
          <w:sz w:val="22"/>
        </w:rPr>
        <w:t>” for those consumers not supplied according to a tariff-based system are derived from the individual contractual relationships between the marketing entities and their clients. The supply guarantee therefore derives from the guarantee provided by the individual marketing entity. In any case, this supply guarantee should not be affected by third parties entering the gas system, irrespective of the ultimate use of the gas: domestic, commercial, industrial or electricity generation.</w:t>
      </w:r>
    </w:p>
    <w:p>
      <w:pPr>
        <w:pStyle w:val="Normal"/>
        <w:ind w:start="720" w:end="0"/>
        <w:rPr>
          <w:sz w:val="22"/>
        </w:rPr>
      </w:pPr>
      <w:r>
        <w:rPr>
          <w:sz w:val="22"/>
        </w:rPr>
        <w:t>In this respect, while this priority is clear in the right of access for the market already installed and supplied currently and for its vegetative growth, it is more questionable in access for new gasification areas resulting from expansion of the network.</w:t>
      </w:r>
    </w:p>
    <w:p>
      <w:pPr>
        <w:pStyle w:val="Normal"/>
        <w:ind w:start="720" w:end="0"/>
        <w:rPr>
          <w:sz w:val="22"/>
        </w:rPr>
      </w:pPr>
      <w:r>
        <w:rPr>
          <w:sz w:val="22"/>
        </w:rPr>
        <w:t>In any case, the absence of specific regulations in this respect prevents correct assessment of this consideration, but we can at least see that there is an indisputable priority in terms of the right of use of the capacity of the infrastructures in favour of the market that is already supplied currently, irrespective of who is the supplier of new users who, while capacity is not available, cannot be supplied, as this supply may affect the right of third parties who are already consumers of gas.</w:t>
      </w:r>
    </w:p>
    <w:p>
      <w:pPr>
        <w:pStyle w:val="Normal"/>
        <w:ind w:start="720" w:end="0"/>
        <w:rPr>
          <w:sz w:val="22"/>
        </w:rPr>
      </w:pPr>
      <w:r>
        <w:rPr>
          <w:sz w:val="22"/>
        </w:rPr>
        <w:t>All things considered, and insofar as and to the extent that there are no regulations in this respect, Enron’s assertion establishing that there is no legal basis that makes it possible to establish a priority for conventional demand, intended for domestic, commercial or industrial uses, would seem to be appropriate.</w:t>
      </w:r>
      <w:r>
        <w:br w:type="page"/>
      </w:r>
    </w:p>
    <w:p>
      <w:pPr>
        <w:pStyle w:val="Normal"/>
        <w:ind w:start="720" w:end="0"/>
        <w:rPr/>
      </w:pPr>
      <w:r>
        <w:rPr>
          <w:sz w:val="22"/>
        </w:rPr>
        <w:t>However, Enron’s assertion goes on to demonstrate that the non-priority supply to the conventional market presupposes sufficient space in the capacity of the system. Thus, Enron concludes as follows: “</w:t>
      </w:r>
      <w:r>
        <w:rPr>
          <w:i/>
          <w:sz w:val="22"/>
        </w:rPr>
        <w:t>The preference shown by Enagas in favour of all conventional demand customers, which has an impact that can be assumed to be 7 bcm, is not legally justified</w:t>
      </w:r>
      <w:r>
        <w:rPr>
          <w:sz w:val="22"/>
        </w:rPr>
        <w:t>”.</w:t>
      </w:r>
    </w:p>
    <w:p>
      <w:pPr>
        <w:pStyle w:val="Normal"/>
        <w:ind w:start="720" w:end="0"/>
        <w:rPr/>
      </w:pPr>
      <w:r>
        <w:rPr>
          <w:sz w:val="22"/>
        </w:rPr>
        <w:t>This assertion refers to the entire national system and does not make specific reference to the Huelva regasification plant, where access is sought. For the Huelva plant, in accordance with the premises of priority of access for the market already in place, irrespective of the final use to be made of the gas within this market, it does not appear that there is sufficient space for the Arcos plant prior to the year 2004. Thus, the gas supplied via ATR contracts in 2003 for this plant in Enagas’ study of February 2001 assumes a reserve of 6.2 Mm</w:t>
      </w:r>
      <w:r>
        <w:rPr>
          <w:sz w:val="22"/>
          <w:vertAlign w:val="superscript"/>
        </w:rPr>
        <w:t>3</w:t>
      </w:r>
      <w:r>
        <w:rPr>
          <w:sz w:val="22"/>
        </w:rPr>
        <w:t>(m)/day, being 5.5 Mm</w:t>
      </w:r>
      <w:r>
        <w:rPr>
          <w:sz w:val="22"/>
          <w:vertAlign w:val="superscript"/>
        </w:rPr>
        <w:t>3</w:t>
      </w:r>
      <w:r>
        <w:rPr>
          <w:sz w:val="22"/>
        </w:rPr>
        <w:t>(m)/day in 2001. Supposing, and this is a hypothesis that is, however you look at it, improbable but illustrative, that there is no vegetative growth for clients supplied in this manner, there would be lacuna in capacity equivalent to the difference between the above two values: 0.7 Mm</w:t>
      </w:r>
      <w:r>
        <w:rPr>
          <w:sz w:val="22"/>
          <w:vertAlign w:val="superscript"/>
        </w:rPr>
        <w:t>3</w:t>
      </w:r>
      <w:r>
        <w:rPr>
          <w:sz w:val="22"/>
        </w:rPr>
        <w:t>(m)/day or the equivalent of 0.26 bcm, still insufficient for the plant.</w:t>
      </w:r>
    </w:p>
    <w:p>
      <w:pPr>
        <w:pStyle w:val="Normal"/>
        <w:ind w:start="720" w:end="0"/>
        <w:rPr/>
      </w:pPr>
      <w:r>
        <w:rPr>
          <w:sz w:val="22"/>
        </w:rPr>
        <w:t xml:space="preserve">The company Enron España Energía, S.L. states in its </w:t>
      </w:r>
      <w:r>
        <w:rPr>
          <w:b/>
          <w:sz w:val="22"/>
        </w:rPr>
        <w:t>Pleading Six</w:t>
      </w:r>
      <w:r>
        <w:rPr>
          <w:sz w:val="22"/>
        </w:rPr>
        <w:t xml:space="preserve"> of the pleadings document that Enagas accepted speculative capacity reservations that resulted in blocking of capacity.</w:t>
      </w:r>
    </w:p>
    <w:p>
      <w:pPr>
        <w:pStyle w:val="Normal"/>
        <w:ind w:start="720" w:end="0"/>
        <w:rPr>
          <w:sz w:val="22"/>
        </w:rPr>
      </w:pPr>
      <w:r>
        <w:rPr>
          <w:sz w:val="22"/>
        </w:rPr>
        <w:t>This allegation strays from the subject of this case, and this Commission therefore does not believe that it should consider this issue.</w:t>
      </w:r>
    </w:p>
    <w:p>
      <w:pPr>
        <w:pStyle w:val="Normal"/>
        <w:ind w:start="720" w:end="0"/>
        <w:rPr/>
      </w:pPr>
      <w:r>
        <w:rPr>
          <w:sz w:val="22"/>
        </w:rPr>
        <w:t xml:space="preserve">On the other hand, the differentiation of the sub-systems - West of Haro and East of Haro - used by Enagas is also the subject of Enron’s </w:t>
      </w:r>
      <w:r>
        <w:rPr>
          <w:b/>
          <w:sz w:val="22"/>
        </w:rPr>
        <w:t>Pleading Two</w:t>
      </w:r>
      <w:r>
        <w:rPr>
          <w:sz w:val="22"/>
        </w:rPr>
        <w:t>. In essence, Enron’s position maintains that it cannot be established that the two sub-systems are isolated systems, given that there is a physical flow of gas that changes direction in accordance with the scenario in question. This suggests that there could be alternatives to input from the Huelva regasification plant that would make it possible to introduce gas intended for the Arcos plant from the East of Haro sub-system.</w:t>
      </w:r>
    </w:p>
    <w:p>
      <w:pPr>
        <w:pStyle w:val="Normal"/>
        <w:ind w:start="720" w:end="0"/>
        <w:rPr>
          <w:sz w:val="22"/>
        </w:rPr>
      </w:pPr>
      <w:r>
        <w:rPr>
          <w:sz w:val="22"/>
        </w:rPr>
        <w:t>While this is true, as it is possible for gas to enter the Spanish system through different entry points in what Enagas has denominated the East of Haro sub-system, this possibility put forward by Enron is new in terms of the dispute in question. In this dispute, we are resolving the existence or otherwise of capacity at the point at which Enron formally requested access: the Huelva regasification plant.</w:t>
      </w:r>
    </w:p>
    <w:p>
      <w:pPr>
        <w:pStyle w:val="Normal"/>
        <w:ind w:start="720" w:end="0"/>
        <w:rPr>
          <w:sz w:val="22"/>
        </w:rPr>
      </w:pPr>
      <w:r>
        <w:rPr>
          <w:sz w:val="22"/>
        </w:rPr>
        <w:t>In any case, the Technical System Administrator could, in agreement with Enron, arrive at alternative solutions to the Huelva plant, as Enron proposes in its pleadings, that, without prejudicing third parties, would make it possible to alleviate the limitations on access for the above-mentioned plant, even though in a temporary or partial manner.</w:t>
      </w:r>
    </w:p>
    <w:p>
      <w:pPr>
        <w:pStyle w:val="Normal"/>
        <w:ind w:start="720" w:end="0"/>
        <w:rPr/>
      </w:pPr>
      <w:r>
        <w:rPr>
          <w:sz w:val="22"/>
        </w:rPr>
        <w:t xml:space="preserve">On the other hand, it is also necessary to mention Enron’s </w:t>
      </w:r>
      <w:r>
        <w:rPr>
          <w:b/>
          <w:sz w:val="22"/>
        </w:rPr>
        <w:t>Pleading Eight</w:t>
      </w:r>
      <w:r>
        <w:rPr>
          <w:sz w:val="22"/>
        </w:rPr>
        <w:t>. In this pleading, Enron states literally the following: “</w:t>
      </w:r>
      <w:r>
        <w:rPr>
          <w:i/>
          <w:sz w:val="22"/>
        </w:rPr>
        <w:t>Enagas requires that developers of combined cycle power stations give a firm undertaking to implement their project and complete it at a predetermined date, but its own undertakings are, on the contrary, subject to the obtaining of permits</w:t>
      </w:r>
      <w:r>
        <w:rPr>
          <w:sz w:val="22"/>
        </w:rPr>
        <w:t>”.</w:t>
      </w:r>
    </w:p>
    <w:p>
      <w:pPr>
        <w:pStyle w:val="BodyText"/>
        <w:ind w:start="720" w:end="0"/>
        <w:rPr/>
      </w:pPr>
      <w:r>
        <w:rPr>
          <w:lang w:val="en-GB"/>
        </w:rPr>
        <w:t xml:space="preserve">This issue is of vital importance, to the extent that they may be acquiring commitments for a future resource that is not currently available. Therefore, criteria such as firmness, commitment and a mutually contingent arrangement must govern the clauses that appear in the access contracts. In this respect, there should be a </w:t>
      </w:r>
      <w:r>
        <w:rPr>
          <w:b/>
          <w:lang w:val="en-GB"/>
        </w:rPr>
        <w:t>mutually contingent nature to the commitments arising  from delays in the obtaining of the necessary permits and authorisations, both for the construction of gas infrastructures and for the construction of combined cycle stations</w:t>
      </w:r>
      <w:r>
        <w:rPr>
          <w:lang w:val="en-GB"/>
        </w:rPr>
        <w:t>.</w:t>
      </w:r>
      <w:r>
        <w:br w:type="page"/>
      </w:r>
    </w:p>
    <w:p>
      <w:pPr>
        <w:pStyle w:val="BodyText"/>
        <w:ind w:start="720" w:end="0"/>
        <w:rPr>
          <w:lang w:val="en-GB"/>
        </w:rPr>
      </w:pPr>
      <w:r>
        <w:rPr>
          <w:lang w:val="en-GB"/>
        </w:rPr>
        <w:t>Finally and by way of a preliminary conclusion, it is necessary to establish that a refusal of access on the basis of insufficient capacity must correspond to a purely physical limitation whereby it is technically impossible to supply the demand with appropriate guarantees of quality and security of supply. In this way, if the physical restrictions that cause the absence of capacity can be remedied, through the expansion of installations, access should be granted.</w:t>
      </w:r>
    </w:p>
    <w:p>
      <w:pPr>
        <w:pStyle w:val="Normal"/>
        <w:ind w:start="720" w:end="0"/>
        <w:rPr>
          <w:sz w:val="22"/>
        </w:rPr>
      </w:pPr>
      <w:r>
        <w:rPr>
          <w:sz w:val="22"/>
        </w:rPr>
        <w:t>In this respect, and in regard to the dispute in question, it is necessary to stress that there has not been a complete refusal of access, but rather only a refusal of some of the conditions requested by Enron: the conditions relative to the commencement date. Enron requested capacity from October 2002, for a period of 20 years. This fact was illustrated for the first time in the letter from Enagas responding to the letter from Enron dated 29 January 2001 formally requesting access. In this response, dated 28 February 2001, Enagas advised that it would be in a position to provide access on a continuous basis as from the second quarter of 2004.</w:t>
      </w:r>
    </w:p>
    <w:p>
      <w:pPr>
        <w:pStyle w:val="Normal"/>
        <w:ind w:start="720" w:end="0"/>
        <w:rPr>
          <w:sz w:val="22"/>
        </w:rPr>
      </w:pPr>
      <w:r>
        <w:rPr>
          <w:sz w:val="22"/>
        </w:rPr>
        <w:t>The confirmation of the foreseeable existence of capacity for the future point in time was again highlighted by Enagas in its letter to Enron dated 16 April 2001, a letter provided as part of the documentation submitted by Enagas during the examination procedure. This letter states the following:</w:t>
      </w:r>
    </w:p>
    <w:p>
      <w:pPr>
        <w:pStyle w:val="Normal"/>
        <w:ind w:start="720" w:end="0"/>
        <w:rPr/>
      </w:pPr>
      <w:r>
        <w:rPr>
          <w:sz w:val="22"/>
        </w:rPr>
        <w:t>“</w:t>
      </w:r>
      <w:r>
        <w:rPr>
          <w:i/>
          <w:sz w:val="22"/>
        </w:rPr>
        <w:t>…</w:t>
      </w:r>
      <w:r>
        <w:rPr>
          <w:i/>
          <w:sz w:val="22"/>
        </w:rPr>
        <w:t>we confirm that the Gas System will be able to provide access on a continuous basis for your Arcos de la Frontera power station as from the second quarter of the year 2004, provided that there are no undue delays in the processing of the permits and administrative authorisations.</w:t>
      </w:r>
    </w:p>
    <w:p>
      <w:pPr>
        <w:pStyle w:val="Normal"/>
        <w:ind w:start="720" w:end="0"/>
        <w:rPr>
          <w:i/>
          <w:i/>
          <w:sz w:val="22"/>
        </w:rPr>
      </w:pPr>
      <w:r>
        <w:rPr>
          <w:i/>
          <w:sz w:val="22"/>
        </w:rPr>
        <w:t>Further to our letter of 28 February and as we have commented on several occasions, Enagas considers that only through the conclusion of the corresponding contract for access to regasification and transportation services can reservation of capacity be formalised.</w:t>
      </w:r>
    </w:p>
    <w:p>
      <w:pPr>
        <w:pStyle w:val="Normal"/>
        <w:ind w:start="720" w:end="0"/>
        <w:rPr/>
      </w:pPr>
      <w:r>
        <w:rPr>
          <w:i/>
          <w:sz w:val="22"/>
        </w:rPr>
        <w:t>For this reason, and for the purpose of providing for an efficient development and correct management of the gas system and of avoiding a negative effect on other possible applicants for access, we advise that the conditions indicated in the above-mentioned letter as stated above, in accordance with which Enagas could accommodate the services requested, are expressly conditional on both parties reaching, within a reasonable period of time, an agreement that translates into the conclusion of an access contract. If, once two months from the date of this letter have passed, no access contracts have been concluded, Enagas will consider itself to be completely disassociated from any commitments that may derive from Enron’s application and from the response provided to such application in our letter of 28 February 2001</w:t>
      </w:r>
      <w:r>
        <w:rPr>
          <w:sz w:val="22"/>
        </w:rPr>
        <w:t>.”</w:t>
      </w:r>
    </w:p>
    <w:p>
      <w:pPr>
        <w:pStyle w:val="BodyText"/>
        <w:ind w:start="720" w:end="0"/>
        <w:rPr/>
      </w:pPr>
      <w:r>
        <w:rPr>
          <w:lang w:val="en-GB"/>
        </w:rPr>
        <w:t xml:space="preserve">As a result, in accordance with the documentation provided by Enagas, we must consider that there </w:t>
      </w:r>
      <w:r>
        <w:rPr>
          <w:b/>
          <w:lang w:val="en-GB"/>
        </w:rPr>
        <w:t>will be sufficient capacity to supply Enron’s power station on a continuous basis from the second quarter of 2004</w:t>
      </w:r>
      <w:r>
        <w:rPr>
          <w:lang w:val="en-GB"/>
        </w:rPr>
        <w:t>. Furthermore, this power station may be supplied, on a partial or discontinuous basis, during periods prior to the second quarter of 2004, where a lesser degree of demand within the natural gas system makes possible the existence of capacity and enables, therefore, the necessary trials for commissioning of the station.</w:t>
      </w:r>
    </w:p>
    <w:p>
      <w:pPr>
        <w:pStyle w:val="Normal"/>
        <w:ind w:start="720" w:end="0"/>
        <w:rPr/>
      </w:pPr>
      <w:r>
        <w:rPr>
          <w:sz w:val="22"/>
        </w:rPr>
        <w:t>Enron establishes in its document formulated on 16 April 2001, the end of the period for examination of the file, that “</w:t>
      </w:r>
      <w:r>
        <w:rPr>
          <w:i/>
          <w:sz w:val="22"/>
        </w:rPr>
        <w:t>prior to the refusal of access to the natural gas transportation system by Enagas, S.A., Enron had planned to commence works on the construction of the generation station during the month of June 2001. The duration of the construction works on the generation station was estimated to be 28½ months.</w:t>
      </w:r>
      <w:r>
        <w:br w:type="page"/>
      </w:r>
    </w:p>
    <w:p>
      <w:pPr>
        <w:pStyle w:val="Normal"/>
        <w:ind w:start="720" w:end="0"/>
        <w:rPr/>
      </w:pPr>
      <w:r>
        <w:rPr>
          <w:i/>
          <w:sz w:val="22"/>
        </w:rPr>
        <w:t>These initial forecasts were amended as a result of the uncertainty created by Enagas, S.A. as a consequence of the refusal of access to the natural gas transportation system. Once these uncertainties disappear, Enron will be in a position to commence construction of the generators for the generation station within a short period of time and calculate once again the duration of the construction works relative to the generators for the generation station</w:t>
      </w:r>
      <w:r>
        <w:rPr>
          <w:sz w:val="22"/>
        </w:rPr>
        <w:t>.”</w:t>
      </w:r>
    </w:p>
    <w:p>
      <w:pPr>
        <w:pStyle w:val="BodyText"/>
        <w:ind w:start="720" w:end="0"/>
        <w:rPr>
          <w:lang w:val="en-GB"/>
        </w:rPr>
      </w:pPr>
      <w:r>
        <w:rPr>
          <w:lang w:val="en-GB"/>
        </w:rPr>
        <w:t>Therefore, if the best of Enron’s forecasts is achieved, this would assume that the station would be available in October or November 2003. As a result, it should be acceptable for Enron that its power station have access to firm capacity as from the second quarter of 2004, with it being logical to assume that until this date, it will enjoy limited access to the installations under conditions whereby the continuity and quality of the service for the remainder of the consumers are not jeopardised.</w:t>
      </w:r>
    </w:p>
    <w:p>
      <w:pPr>
        <w:pStyle w:val="Normal"/>
        <w:ind w:start="720" w:end="0"/>
        <w:rPr>
          <w:sz w:val="22"/>
        </w:rPr>
      </w:pPr>
      <w:r>
        <w:rPr>
          <w:sz w:val="22"/>
        </w:rPr>
        <w:t>On the other hand, the information made available by Enron in the examination of this case demonstrates the seriousness of its intention to have available a generation plant in Arcos de la Frontera. This is attested to by the processing of the administrative permits required for its construction: permits for the installation of the plant (summary report, draft plan of the installation, environmental impact study, declaration of environmental impact, etc), permits for connection to the electricity transmission system (REE viability report, permit for the construction of the sub-station and lines, etc), usage concession and permit for discharge of water (draft public water concession, legal formalities for discharge of waste water, etc), development of infrastructures (road), commitments for supply of natural gas, etc, in addition to the procedure for connection to the natural gas transportation system with which we are currently concerned.</w:t>
      </w:r>
    </w:p>
    <w:p>
      <w:pPr>
        <w:pStyle w:val="Normal"/>
        <w:ind w:start="720" w:end="0"/>
        <w:rPr/>
      </w:pPr>
      <w:r>
        <w:rPr>
          <w:sz w:val="22"/>
        </w:rPr>
        <w:t xml:space="preserve">The undertaking on the part of Enagas as to the existence of capacity available on a continuous basis for 2004 must take concrete form through the </w:t>
      </w:r>
      <w:r>
        <w:rPr>
          <w:b/>
          <w:sz w:val="22"/>
        </w:rPr>
        <w:t>conclusion of an access contract</w:t>
      </w:r>
      <w:r>
        <w:rPr>
          <w:sz w:val="22"/>
        </w:rPr>
        <w:t>. This contract must include clauses that are similar to those already concluded by Enagas in the provision of access to its installations.</w:t>
      </w:r>
    </w:p>
    <w:p>
      <w:pPr>
        <w:pStyle w:val="Normal"/>
        <w:ind w:start="720" w:end="0"/>
        <w:rPr>
          <w:sz w:val="22"/>
        </w:rPr>
      </w:pPr>
      <w:r>
        <w:rPr>
          <w:sz w:val="22"/>
        </w:rPr>
        <w:t>The existence of capacity from 2004, on a continuous basis, ratified by access contract, must allow Enron to consolidate the resources necessary for the financing of its project. According to Enron:</w:t>
      </w:r>
    </w:p>
    <w:p>
      <w:pPr>
        <w:pStyle w:val="Normal"/>
        <w:ind w:start="720" w:end="0"/>
        <w:rPr/>
      </w:pPr>
      <w:r>
        <w:rPr>
          <w:sz w:val="22"/>
        </w:rPr>
        <w:t>“</w:t>
      </w:r>
      <w:r>
        <w:rPr>
          <w:i/>
          <w:sz w:val="22"/>
        </w:rPr>
        <w:t>…</w:t>
      </w:r>
      <w:r>
        <w:rPr>
          <w:i/>
          <w:sz w:val="22"/>
        </w:rPr>
        <w:t>the financing of the construction and operation of the 1,200 MW power station at Arcos de la Frontera will take place via a combination of debt and capital from Enron España Generación, S.L. (single-member company).</w:t>
      </w:r>
    </w:p>
    <w:p>
      <w:pPr>
        <w:pStyle w:val="Normal"/>
        <w:ind w:start="720" w:end="0"/>
        <w:rPr>
          <w:i/>
          <w:i/>
          <w:sz w:val="22"/>
        </w:rPr>
      </w:pPr>
      <w:r>
        <w:rPr>
          <w:i/>
          <w:sz w:val="22"/>
        </w:rPr>
        <w:t>The financing of the project will be provided through a “project finance” structure.</w:t>
      </w:r>
    </w:p>
    <w:p>
      <w:pPr>
        <w:pStyle w:val="Normal"/>
        <w:ind w:start="720" w:end="0"/>
        <w:rPr>
          <w:i/>
          <w:i/>
          <w:sz w:val="22"/>
        </w:rPr>
      </w:pPr>
      <w:r>
        <w:rPr>
          <w:i/>
          <w:sz w:val="22"/>
        </w:rPr>
        <w:t>…</w:t>
      </w:r>
    </w:p>
    <w:p>
      <w:pPr>
        <w:pStyle w:val="Normal"/>
        <w:ind w:start="720" w:end="0"/>
        <w:rPr>
          <w:i/>
          <w:i/>
          <w:sz w:val="22"/>
        </w:rPr>
      </w:pPr>
      <w:r>
        <w:rPr>
          <w:i/>
          <w:sz w:val="22"/>
        </w:rPr>
        <w:t>A delay, or the existence of risks that could jeopardise the commissioning of the generation station, could have a considerable negative effect on the development of the process relative to obtaining of the financial resources.</w:t>
      </w:r>
    </w:p>
    <w:p>
      <w:pPr>
        <w:pStyle w:val="Normal"/>
        <w:ind w:start="720" w:end="0"/>
        <w:rPr>
          <w:i/>
          <w:i/>
          <w:sz w:val="22"/>
        </w:rPr>
      </w:pPr>
      <w:r>
        <w:rPr>
          <w:i/>
          <w:sz w:val="22"/>
        </w:rPr>
        <w:t>…</w:t>
      </w:r>
    </w:p>
    <w:p>
      <w:pPr>
        <w:pStyle w:val="Normal"/>
        <w:ind w:start="720" w:end="0"/>
        <w:rPr/>
      </w:pPr>
      <w:r>
        <w:rPr>
          <w:i/>
          <w:sz w:val="22"/>
        </w:rPr>
        <w:t>Enron España Generación, S.L. (single-member company) has reached an agreement for the financing of the project with a consortium of financial institutions. The final negotiations, in which the conditions for the above-mentioned financing were formalised, have been concluded. The financial structure has been established and is only subject to changes that may be occasioned by unforeseen delays prior to financial closure</w:t>
      </w:r>
      <w:r>
        <w:rPr>
          <w:sz w:val="22"/>
        </w:rPr>
        <w:t>”.</w:t>
      </w:r>
    </w:p>
    <w:p>
      <w:pPr>
        <w:pStyle w:val="Normal"/>
        <w:ind w:start="720" w:end="0"/>
        <w:rPr/>
      </w:pPr>
      <w:r>
        <w:rPr>
          <w:sz w:val="22"/>
        </w:rPr>
        <w:t xml:space="preserve">As a result, there must be a </w:t>
      </w:r>
      <w:r>
        <w:rPr>
          <w:b/>
          <w:sz w:val="22"/>
        </w:rPr>
        <w:t>firm undertaking</w:t>
      </w:r>
      <w:r>
        <w:rPr>
          <w:sz w:val="22"/>
        </w:rPr>
        <w:t>, in the form of an access contract between the parties, that enables Enron to have a date on which it can access the natural gas installations without restriction.</w:t>
      </w:r>
      <w:r>
        <w:br w:type="page"/>
      </w:r>
    </w:p>
    <w:p>
      <w:pPr>
        <w:pStyle w:val="BodyTextIndent"/>
        <w:rPr>
          <w:lang w:val="en-GB"/>
        </w:rPr>
      </w:pPr>
      <w:r>
        <w:rPr>
          <w:lang w:val="en-GB"/>
        </w:rPr>
        <w:t>X.</w:t>
        <w:tab/>
        <w:t>On the allegations made by Enron relative to lack of objectivity and discriminatory action by the Technical System Administrator</w:t>
      </w:r>
    </w:p>
    <w:p>
      <w:pPr>
        <w:pStyle w:val="Normal"/>
        <w:ind w:start="720" w:end="0"/>
        <w:rPr/>
      </w:pPr>
      <w:r>
        <w:rPr>
          <w:sz w:val="22"/>
        </w:rPr>
        <w:t xml:space="preserve">Enron, in its </w:t>
      </w:r>
      <w:r>
        <w:rPr>
          <w:b/>
          <w:sz w:val="22"/>
        </w:rPr>
        <w:t>Pleadings Ten and Eleven</w:t>
      </w:r>
      <w:r>
        <w:rPr>
          <w:sz w:val="22"/>
        </w:rPr>
        <w:t>, asserts that in the capacity reservation process, Enagas, as the operator of the transportation installations affected and as Technical System Administrator, acted without due objectivity, and acted in a discriminatory manner.</w:t>
      </w:r>
    </w:p>
    <w:p>
      <w:pPr>
        <w:pStyle w:val="Normal"/>
        <w:ind w:start="720" w:end="0"/>
        <w:rPr/>
      </w:pPr>
      <w:r>
        <w:rPr>
          <w:sz w:val="22"/>
        </w:rPr>
        <w:t>To demonstrate this absence of objectivity, Enron claims a lack of uniformity in treatment and in provision of information. Enron further asserts that Enagas has not taken into consideration the difficulties relative to the time constraints for the construction of the station, resulting from the processing of the administrative permits, even though it proposed that the reservation of capacity be conditional upon the processing of its administrative permits for the gas transportation installations. Similarly, Enron indicated that “</w:t>
      </w:r>
      <w:r>
        <w:rPr>
          <w:i/>
          <w:sz w:val="22"/>
        </w:rPr>
        <w:t>Enagas has behaved in an erratic manner with respect to its requirements for reservation of capacity</w:t>
      </w:r>
      <w:r>
        <w:rPr>
          <w:sz w:val="22"/>
        </w:rPr>
        <w:t>”, requiring in some cases the existence of a gas supply contract and withdrawing this requirement from new draft ATR contracts. In addition, Enron states that “</w:t>
      </w:r>
      <w:r>
        <w:rPr>
          <w:i/>
          <w:sz w:val="22"/>
        </w:rPr>
        <w:t>the unilateral establishment by Enagas of a deadline for conclusion of contracts is arbitrary, unilateral and clearly illegal</w:t>
      </w:r>
      <w:r>
        <w:rPr>
          <w:sz w:val="22"/>
        </w:rPr>
        <w:t>”.</w:t>
      </w:r>
    </w:p>
    <w:p>
      <w:pPr>
        <w:pStyle w:val="BodyText"/>
        <w:ind w:start="720" w:end="0"/>
        <w:rPr/>
      </w:pPr>
      <w:r>
        <w:rPr>
          <w:lang w:val="en-GB"/>
        </w:rPr>
        <w:t>For its part, Enron, in demonstrating discriminatory action, in reference to the San Roque station owned by Gas Natural SDG and Endesa, which has an access contract, argues that “</w:t>
      </w:r>
      <w:r>
        <w:rPr>
          <w:i/>
          <w:lang w:val="en-GB"/>
        </w:rPr>
        <w:t>Enron did not have any opportunity to compete on an equal footing with a third party with full access, in its capacity as sole shareholder of Enagas, to reserved information relative to the existing regasification capacity</w:t>
      </w:r>
      <w:r>
        <w:rPr>
          <w:lang w:val="en-GB"/>
        </w:rPr>
        <w:t>”.</w:t>
      </w:r>
    </w:p>
    <w:p>
      <w:pPr>
        <w:pStyle w:val="Normal"/>
        <w:ind w:start="720" w:end="0"/>
        <w:rPr>
          <w:sz w:val="22"/>
        </w:rPr>
      </w:pPr>
      <w:r>
        <w:rPr>
          <w:sz w:val="22"/>
        </w:rPr>
        <w:t xml:space="preserve">On the other hand, </w:t>
      </w:r>
      <w:r>
        <w:rPr>
          <w:b/>
          <w:sz w:val="22"/>
        </w:rPr>
        <w:t>Enagas, in its pleadings</w:t>
      </w:r>
      <w:r>
        <w:rPr>
          <w:sz w:val="22"/>
        </w:rPr>
        <w:t xml:space="preserve"> of 4 May, indicates that “</w:t>
      </w:r>
      <w:r>
        <w:rPr>
          <w:i/>
          <w:sz w:val="22"/>
        </w:rPr>
        <w:t>Enron has moved away from what should be the subject of a case relative to dispute over access to installations, with the National Energy Commission being required to adjudicate in a suitable and appropriate manner on this matter”.</w:t>
      </w:r>
    </w:p>
    <w:p>
      <w:pPr>
        <w:pStyle w:val="Normal"/>
        <w:ind w:start="720" w:end="0"/>
        <w:rPr>
          <w:sz w:val="22"/>
        </w:rPr>
      </w:pPr>
      <w:r>
        <w:rPr>
          <w:sz w:val="22"/>
        </w:rPr>
        <w:t>Considering the content of these allegations, the Commission believes that they stray from the subject of this case. Therefore, the assertions contained in these pleadings of Enron must not be taken into consideration in these proceedings, which are intended exclusively to resolve the issue of the exercise of right of access, without prejudice to the fact that such pleadings could give rise to further action in accordance with the law.</w:t>
      </w:r>
    </w:p>
    <w:p>
      <w:pPr>
        <w:pStyle w:val="BodyText"/>
        <w:rPr>
          <w:lang w:val="en-GB"/>
        </w:rPr>
      </w:pPr>
      <w:r>
        <w:rPr>
          <w:lang w:val="en-GB"/>
        </w:rPr>
        <w:t>Considering the legal provisions and regulations mentioned above, the Board of Directors of the National Energy Commission, in its session of 25 May 2001,</w:t>
      </w:r>
    </w:p>
    <w:p>
      <w:pPr>
        <w:pStyle w:val="Heading1"/>
        <w:ind w:hanging="0" w:start="0"/>
        <w:rPr>
          <w:lang w:val="en-GB"/>
        </w:rPr>
      </w:pPr>
      <w:r>
        <w:rPr>
          <w:lang w:val="en-GB"/>
        </w:rPr>
        <w:t>HEREBY RULES AS FOLLOWS</w:t>
      </w:r>
    </w:p>
    <w:p>
      <w:pPr>
        <w:pStyle w:val="Normal"/>
        <w:rPr/>
      </w:pPr>
      <w:r>
        <w:rPr>
          <w:b/>
          <w:sz w:val="22"/>
        </w:rPr>
        <w:t>ONE</w:t>
      </w:r>
      <w:r>
        <w:rPr>
          <w:sz w:val="22"/>
        </w:rPr>
        <w:t>. That on the basis of the case examined, the refusal of access on the basis of insufficient capacity as at the date requested by Enron España Energía, S.L., ie as from 1 October 2002, is justified.</w:t>
      </w:r>
    </w:p>
    <w:p>
      <w:pPr>
        <w:pStyle w:val="Normal"/>
        <w:rPr/>
      </w:pPr>
      <w:r>
        <w:rPr>
          <w:sz w:val="22"/>
        </w:rPr>
        <w:t>The conditions of the formal application made by Enron España Energía, S.L. in its document of 29 January 2001 are, in addition to the commencement date indicated above, as follows: entry point at the Huelva regasification terminal, with daily capacity of 4.82 Mm</w:t>
      </w:r>
      <w:r>
        <w:rPr>
          <w:sz w:val="22"/>
          <w:vertAlign w:val="superscript"/>
        </w:rPr>
        <w:t>3</w:t>
      </w:r>
      <w:r>
        <w:rPr>
          <w:sz w:val="22"/>
        </w:rPr>
        <w:t>(n)/day, 2.01 Mte maximum hourly capacity, with output point at point K11 of the Tarifa-Córdoba gas pipeline, for a period of twenty years.</w:t>
      </w:r>
    </w:p>
    <w:p>
      <w:pPr>
        <w:pStyle w:val="Normal"/>
        <w:rPr/>
      </w:pPr>
      <w:r>
        <w:rPr>
          <w:b/>
          <w:sz w:val="22"/>
        </w:rPr>
        <w:t>TWO</w:t>
      </w:r>
      <w:r>
        <w:rPr>
          <w:sz w:val="22"/>
        </w:rPr>
        <w:t>. Given that, in its pleadings document, Enron España Energía, S.L. raises as a secondary point before the National Energy Commission the issue of continuous access at the latest on 1 April 2004, the above-mentioned company is recognised as having the right of access as at such initial date and under the conditions specified under the previous point, provided that Enron España Energía, S.L. ratifies with Enagas, S.A., within a period of fifteen days from the notification of this decision, the formal application for access and reservation of capacity.</w:t>
      </w:r>
      <w:r>
        <w:br w:type="page"/>
      </w:r>
    </w:p>
    <w:p>
      <w:pPr>
        <w:pStyle w:val="Normal"/>
        <w:rPr/>
      </w:pPr>
      <w:r>
        <w:rPr>
          <w:b/>
          <w:sz w:val="22"/>
        </w:rPr>
        <w:t>THREE</w:t>
      </w:r>
      <w:r>
        <w:rPr>
          <w:sz w:val="22"/>
        </w:rPr>
        <w:t>. Enagas, S.A. and Enron España Energía, S.L. will conclude, within a period of two months from notification of this decision, the corresponding access contract, with effect from 1 April 2004.</w:t>
      </w:r>
    </w:p>
    <w:p>
      <w:pPr>
        <w:pStyle w:val="Normal"/>
        <w:rPr>
          <w:sz w:val="22"/>
        </w:rPr>
      </w:pPr>
      <w:r>
        <w:rPr>
          <w:sz w:val="22"/>
        </w:rPr>
        <w:t>Once the Royal Decree relative to regulation of third party access to gas installations has been approved, and an integrated economic system for the natural gas system has been established, the contract must be amended in line with the provisions of the said Royal Decree.</w:t>
      </w:r>
    </w:p>
    <w:p>
      <w:pPr>
        <w:pStyle w:val="Normal"/>
        <w:rPr/>
      </w:pPr>
      <w:r>
        <w:rPr>
          <w:sz w:val="22"/>
        </w:rPr>
        <w:t>With respect to this Decision, which does not preclude recourse to further administrative proceedings, an appeal may be lodged before the Minister for the Economy, according to the provisions of the Third Additional Provision, 5</w:t>
      </w:r>
      <w:r>
        <w:rPr>
          <w:sz w:val="22"/>
          <w:vertAlign w:val="superscript"/>
        </w:rPr>
        <w:t>th</w:t>
      </w:r>
      <w:r>
        <w:rPr>
          <w:sz w:val="22"/>
        </w:rPr>
        <w:t>, of Law No. 34/1998, dated 7 October 1998, relative to the hydrocarbons sector, within a period of one month from notification of this Decision.</w:t>
      </w:r>
    </w:p>
    <w:p>
      <w:pPr>
        <w:pStyle w:val="Normal"/>
        <w:rPr>
          <w:sz w:val="22"/>
        </w:rPr>
      </w:pPr>
      <w:r>
        <w:rPr>
          <w:sz w:val="22"/>
        </w:rPr>
        <w:t>[stamp]</w:t>
      </w:r>
    </w:p>
    <w:p>
      <w:pPr>
        <w:pStyle w:val="Normal"/>
        <w:rPr>
          <w:sz w:val="22"/>
        </w:rPr>
      </w:pPr>
      <w:r>
        <w:rPr>
          <w:sz w:val="22"/>
        </w:rPr>
        <w:t>APPROVED BY THE BOARD OF DIRECTORS</w:t>
      </w:r>
    </w:p>
    <w:p>
      <w:pPr>
        <w:pStyle w:val="Normal"/>
        <w:rPr>
          <w:sz w:val="22"/>
        </w:rPr>
      </w:pPr>
      <w:r>
        <w:rPr>
          <w:sz w:val="22"/>
        </w:rPr>
        <w:t>ON 25 May 2001</w:t>
      </w:r>
    </w:p>
    <w:p>
      <w:pPr>
        <w:pStyle w:val="Normal"/>
        <w:rPr>
          <w:sz w:val="22"/>
        </w:rPr>
      </w:pPr>
      <w:r>
        <w:rPr>
          <w:sz w:val="22"/>
        </w:rPr>
        <w:t>MADRID, 25 May 2001</w:t>
      </w:r>
    </w:p>
    <w:p>
      <w:pPr>
        <w:pStyle w:val="Normal"/>
        <w:rPr>
          <w:sz w:val="22"/>
        </w:rPr>
      </w:pPr>
      <w:r>
        <w:rPr>
          <w:sz w:val="22"/>
        </w:rPr>
        <w:t>(The Secretary of the Board of Directors)</w:t>
      </w:r>
    </w:p>
    <w:p>
      <w:pPr>
        <w:pStyle w:val="Normal"/>
        <w:rPr>
          <w:sz w:val="22"/>
        </w:rPr>
      </w:pPr>
      <w:r>
        <w:rPr>
          <w:sz w:val="22"/>
        </w:rPr>
        <w:t>[signature]</w:t>
      </w:r>
      <w:r>
        <w:br w:type="page"/>
      </w:r>
    </w:p>
    <w:p>
      <w:pPr>
        <w:pStyle w:val="Normal"/>
        <w:jc w:val="center"/>
        <w:rPr>
          <w:b/>
          <w:sz w:val="22"/>
        </w:rPr>
      </w:pPr>
      <w:r>
        <w:rPr>
          <w:b/>
          <w:sz w:val="22"/>
        </w:rPr>
        <w:t>Annex I</w:t>
      </w:r>
      <w:r>
        <w:br w:type="page"/>
      </w:r>
    </w:p>
    <w:p>
      <w:pPr>
        <w:pStyle w:val="Normal"/>
        <w:jc w:val="center"/>
        <w:rPr>
          <w:b/>
          <w:sz w:val="22"/>
        </w:rPr>
      </w:pPr>
      <w:r>
        <w:rPr>
          <w:b/>
          <w:sz w:val="22"/>
        </w:rPr>
        <w:t>Figure 1: Natural gas transportation system. Source: CNE</w:t>
      </w:r>
    </w:p>
    <w:p>
      <w:pPr>
        <w:pStyle w:val="Normal"/>
        <w:rPr>
          <w:sz w:val="22"/>
        </w:rPr>
      </w:pPr>
      <w:r>
        <w:rPr>
          <w:sz w:val="22"/>
        </w:rPr>
        <w:t>April 2001</w:t>
      </w:r>
    </w:p>
    <w:p>
      <w:pPr>
        <w:pStyle w:val="Normal"/>
        <w:rPr>
          <w:sz w:val="22"/>
        </w:rPr>
      </w:pPr>
      <w:r>
        <w:rPr>
          <w:sz w:val="22"/>
        </w:rPr>
        <w:t>[key]</w:t>
      </w:r>
    </w:p>
    <w:p>
      <w:pPr>
        <w:pStyle w:val="Normal"/>
        <w:rPr/>
      </w:pPr>
      <w:r>
        <w:rPr>
          <w:sz w:val="22"/>
        </w:rPr>
        <w:t>Regasification plant ([illeg. words] of m</w:t>
      </w:r>
      <w:r>
        <w:rPr>
          <w:sz w:val="22"/>
          <w:vertAlign w:val="superscript"/>
        </w:rPr>
        <w:t>3</w:t>
      </w:r>
      <w:r>
        <w:rPr>
          <w:sz w:val="22"/>
        </w:rPr>
        <w:t xml:space="preserve"> of gas)</w:t>
      </w:r>
    </w:p>
    <w:p>
      <w:pPr>
        <w:pStyle w:val="Normal"/>
        <w:rPr>
          <w:sz w:val="22"/>
        </w:rPr>
      </w:pPr>
      <w:r>
        <w:rPr>
          <w:sz w:val="22"/>
        </w:rPr>
        <w:t>Regasification plant (future)</w:t>
      </w:r>
    </w:p>
    <w:p>
      <w:pPr>
        <w:pStyle w:val="Normal"/>
        <w:rPr>
          <w:sz w:val="22"/>
        </w:rPr>
      </w:pPr>
      <w:r>
        <w:rPr>
          <w:sz w:val="22"/>
        </w:rPr>
        <w:t>Deposit</w:t>
      </w:r>
    </w:p>
    <w:p>
      <w:pPr>
        <w:pStyle w:val="Normal"/>
        <w:rPr>
          <w:sz w:val="22"/>
        </w:rPr>
      </w:pPr>
      <w:r>
        <w:rPr>
          <w:sz w:val="22"/>
        </w:rPr>
        <w:t>International connection</w:t>
      </w:r>
    </w:p>
    <w:p>
      <w:pPr>
        <w:pStyle w:val="Normal"/>
        <w:rPr/>
      </w:pPr>
      <w:r>
        <w:rPr>
          <w:sz w:val="22"/>
        </w:rPr>
        <w:t>Underground storage facility ([illeg. word] capacity in million m</w:t>
      </w:r>
      <w:r>
        <w:rPr>
          <w:sz w:val="22"/>
          <w:vertAlign w:val="superscript"/>
        </w:rPr>
        <w:t>3</w:t>
      </w:r>
      <w:r>
        <w:rPr>
          <w:sz w:val="22"/>
        </w:rPr>
        <w:t xml:space="preserve"> of gas)</w:t>
      </w:r>
    </w:p>
    <w:p>
      <w:pPr>
        <w:pStyle w:val="Normal"/>
        <w:rPr>
          <w:sz w:val="22"/>
        </w:rPr>
      </w:pPr>
      <w:r>
        <w:rPr>
          <w:sz w:val="22"/>
        </w:rPr>
        <w:t>Underground storage facility (future)</w:t>
      </w:r>
    </w:p>
    <w:p>
      <w:pPr>
        <w:pStyle w:val="Normal"/>
        <w:rPr>
          <w:sz w:val="22"/>
        </w:rPr>
      </w:pPr>
      <w:r>
        <w:rPr>
          <w:sz w:val="22"/>
        </w:rPr>
        <w:t>Compression station</w:t>
      </w:r>
    </w:p>
    <w:p>
      <w:pPr>
        <w:pStyle w:val="Normal"/>
        <w:rPr>
          <w:sz w:val="22"/>
        </w:rPr>
      </w:pPr>
      <w:r>
        <w:rPr>
          <w:sz w:val="22"/>
        </w:rPr>
        <w:t>Compression station (future)</w:t>
      </w:r>
    </w:p>
    <w:p>
      <w:pPr>
        <w:pStyle w:val="Normal"/>
        <w:rPr>
          <w:sz w:val="22"/>
        </w:rPr>
      </w:pPr>
      <w:r>
        <w:rPr>
          <w:sz w:val="22"/>
        </w:rPr>
        <w:t>Transportation pipeline</w:t>
      </w:r>
    </w:p>
    <w:p>
      <w:pPr>
        <w:pStyle w:val="Normal"/>
        <w:rPr>
          <w:sz w:val="22"/>
        </w:rPr>
      </w:pPr>
      <w:r>
        <w:rPr>
          <w:sz w:val="22"/>
        </w:rPr>
        <w:t>Transportation pipeline (future)</w:t>
      </w:r>
    </w:p>
    <w:p>
      <w:pPr>
        <w:pStyle w:val="Normal"/>
        <w:rPr>
          <w:sz w:val="22"/>
        </w:rPr>
      </w:pPr>
      <w:r>
        <w:rPr>
          <w:sz w:val="22"/>
        </w:rPr>
        <w:t>Portugal pipeline</w:t>
      </w:r>
    </w:p>
    <w:p>
      <w:pPr>
        <w:pStyle w:val="Normal"/>
        <w:rPr>
          <w:sz w:val="22"/>
        </w:rPr>
      </w:pPr>
      <w:r>
        <w:rPr>
          <w:sz w:val="22"/>
        </w:rPr>
        <w:t>Portugal pipeline (future)</w:t>
      </w:r>
    </w:p>
    <w:p>
      <w:pPr>
        <w:pStyle w:val="Normal"/>
        <w:rPr>
          <w:sz w:val="22"/>
        </w:rPr>
      </w:pPr>
      <w:r>
        <w:rPr>
          <w:sz w:val="22"/>
        </w:rPr>
        <w:t>***END</w:t>
      </w:r>
    </w:p>
    <w:p>
      <w:pPr>
        <w:pStyle w:val="Normal"/>
        <w:spacing w:before="40" w:after="40"/>
        <w:rPr>
          <w:sz w:val="22"/>
        </w:rPr>
      </w:pPr>
      <w:r>
        <w:rPr>
          <w:sz w:val="22"/>
        </w:rPr>
      </w:r>
    </w:p>
    <w:sectPr>
      <w:headerReference w:type="default" r:id="rId2"/>
      <w:type w:val="nextPage"/>
      <w:pgSz w:w="11906" w:h="16838"/>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55">
    <w:altName w:val="Century Gothic"/>
    <w:charset w:val="00" w:characterSet="windows-1252"/>
    <w:family w:val="swiss"/>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40" w:after="40"/>
      <w:rPr>
        <w:sz w:val="20"/>
      </w:rPr>
    </w:pPr>
    <w:r>
      <w:rPr>
        <w:sz w:val="20"/>
      </w:rPr>
      <w:t>CNE – Comisión Nacional de Energía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737"/>
        </w:tabs>
        <w:ind w:start="737" w:hanging="737"/>
      </w:pPr>
    </w:lvl>
    <w:lvl w:ilvl="1">
      <w:start w:val="1"/>
      <w:numFmt w:val="decimal"/>
      <w:lvlText w:val="%1.%2"/>
      <w:lvlJc w:val="start"/>
      <w:pPr>
        <w:tabs>
          <w:tab w:val="num" w:pos="737"/>
        </w:tabs>
        <w:ind w:start="737" w:hanging="737"/>
      </w:pPr>
    </w:lvl>
    <w:lvl w:ilvl="2">
      <w:start w:val="1"/>
      <w:numFmt w:val="decimal"/>
      <w:lvlText w:val="%1.%2.%3"/>
      <w:lvlJc w:val="start"/>
      <w:pPr>
        <w:tabs>
          <w:tab w:val="num" w:pos="1588"/>
        </w:tabs>
        <w:ind w:start="1588" w:hanging="851"/>
      </w:pPr>
    </w:lvl>
    <w:lvl w:ilvl="3">
      <w:start w:val="1"/>
      <w:numFmt w:val="decimal"/>
      <w:lvlText w:val="%1.%2.%3.%4"/>
      <w:lvlJc w:val="start"/>
      <w:pPr>
        <w:tabs>
          <w:tab w:val="num" w:pos="2665"/>
        </w:tabs>
        <w:ind w:start="2665" w:hanging="1077"/>
      </w:pPr>
    </w:lvl>
    <w:lvl w:ilvl="4">
      <w:start w:val="1"/>
      <w:numFmt w:val="decimal"/>
      <w:lvlText w:val="%1.%2.%3.%4.%5"/>
      <w:lvlJc w:val="start"/>
      <w:pPr>
        <w:tabs>
          <w:tab w:val="num" w:pos="3969"/>
        </w:tabs>
        <w:ind w:start="3969" w:hanging="1304"/>
      </w:pPr>
    </w:lvl>
    <w:lvl w:ilvl="5">
      <w:start w:val="1"/>
      <w:numFmt w:val="decimal"/>
      <w:lvlText w:val="%1.%2.%3.%4.%5.%6"/>
      <w:lvlJc w:val="start"/>
      <w:pPr>
        <w:tabs>
          <w:tab w:val="num" w:pos="5443"/>
        </w:tabs>
        <w:ind w:start="5443" w:hanging="1474"/>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09"/>
        </w:tabs>
        <w:ind w:start="709" w:hanging="709"/>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40" w:after="4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Normal"/>
    <w:qFormat/>
    <w:pPr>
      <w:keepNext w:val="true"/>
      <w:numPr>
        <w:ilvl w:val="0"/>
        <w:numId w:val="1"/>
      </w:numPr>
      <w:jc w:val="center"/>
      <w:outlineLvl w:val="0"/>
    </w:pPr>
    <w:rPr>
      <w:b/>
      <w:sz w:val="22"/>
      <w:lang w:val="pt-BR"/>
    </w:rPr>
  </w:style>
  <w:style w:type="paragraph" w:styleId="Heading2">
    <w:name w:val="heading 2"/>
    <w:basedOn w:val="Normal"/>
    <w:next w:val="Normal"/>
    <w:qFormat/>
    <w:pPr>
      <w:keepNext w:val="true"/>
      <w:numPr>
        <w:ilvl w:val="1"/>
        <w:numId w:val="1"/>
      </w:numPr>
      <w:jc w:val="end"/>
      <w:outlineLvl w:val="1"/>
    </w:pPr>
    <w:rPr>
      <w:b/>
      <w:sz w:val="22"/>
    </w:rPr>
  </w:style>
  <w:style w:type="paragraph" w:styleId="Heading3">
    <w:name w:val="heading 3"/>
    <w:basedOn w:val="Normal"/>
    <w:next w:val="Normal"/>
    <w:qFormat/>
    <w:pPr>
      <w:keepNext w:val="true"/>
      <w:numPr>
        <w:ilvl w:val="2"/>
        <w:numId w:val="1"/>
      </w:numPr>
      <w:tabs>
        <w:tab w:val="clear" w:pos="720"/>
        <w:tab w:val="left" w:pos="990" w:leader="none"/>
      </w:tabs>
      <w:ind w:hanging="990" w:start="990" w:end="0"/>
      <w:outlineLvl w:val="2"/>
    </w:pPr>
    <w:rPr>
      <w:b/>
      <w:sz w:val="22"/>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lang w:val="pt-B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Recipient">
    <w:name w:val="wfxRecipient"/>
    <w:basedOn w:val="Normal"/>
    <w:qFormat/>
    <w:pPr/>
    <w:rPr/>
  </w:style>
  <w:style w:type="paragraph" w:styleId="wfxFaxNum">
    <w:name w:val="wfxFaxNum"/>
    <w:basedOn w:val="Normal"/>
    <w:qFormat/>
    <w:pPr/>
    <w:rPr/>
  </w:style>
  <w:style w:type="paragraph" w:styleId="Bullet">
    <w:name w:val="Bullet"/>
    <w:basedOn w:val="Normal"/>
    <w:qFormat/>
    <w:pPr>
      <w:numPr>
        <w:ilvl w:val="0"/>
        <w:numId w:val="7"/>
      </w:numPr>
      <w:ind w:hanging="706" w:start="706" w:end="0"/>
    </w:pPr>
    <w:rPr/>
  </w:style>
  <w:style w:type="paragraph" w:styleId="Clntinfo">
    <w:name w:val="Clntinfo"/>
    <w:basedOn w:val="Normal"/>
    <w:qFormat/>
    <w:pPr/>
    <w:rPr>
      <w:rFonts w:ascii="Univers 55;Century Gothic" w:hAnsi="Univers 55;Century Gothic" w:cs="Univers 55;Century Gothic"/>
      <w:b/>
      <w:sz w:val="22"/>
    </w:rPr>
  </w:style>
  <w:style w:type="paragraph" w:styleId="Hangindent">
    <w:name w:val="Hangindent"/>
    <w:basedOn w:val="Normal"/>
    <w:qFormat/>
    <w:pPr>
      <w:ind w:hanging="720" w:start="720" w:end="0"/>
    </w:pPr>
    <w:rPr/>
  </w:style>
  <w:style w:type="paragraph" w:styleId="Dbleindent">
    <w:name w:val="Dbleindent"/>
    <w:basedOn w:val="Hangindent"/>
    <w:qFormat/>
    <w:pPr>
      <w:ind w:hanging="720" w:start="1440" w:end="0"/>
    </w:pPr>
    <w:rPr/>
  </w:style>
  <w:style w:type="paragraph" w:styleId="DiaBullet">
    <w:name w:val="DiaBullet"/>
    <w:basedOn w:val="Dbleindent"/>
    <w:qFormat/>
    <w:pPr>
      <w:numPr>
        <w:ilvl w:val="0"/>
        <w:numId w:val="8"/>
      </w:numPr>
    </w:pPr>
    <w:rPr/>
  </w:style>
  <w:style w:type="paragraph" w:styleId="WfxTime">
    <w:name w:val="WfxTime"/>
    <w:basedOn w:val="Normal"/>
    <w:qFormat/>
    <w:pPr/>
    <w:rPr/>
  </w:style>
  <w:style w:type="paragraph" w:styleId="WfxDate">
    <w:name w:val="WfxDate"/>
    <w:basedOn w:val="Normal"/>
    <w:qFormat/>
    <w:pPr/>
    <w:rPr/>
  </w:style>
  <w:style w:type="paragraph" w:styleId="WfxCompany">
    <w:name w:val="WfxCompany"/>
    <w:basedOn w:val="Normal"/>
    <w:qFormat/>
    <w:pPr/>
    <w:rPr/>
  </w:style>
  <w:style w:type="paragraph" w:styleId="WfxSubject">
    <w:name w:val="WfxSubject"/>
    <w:basedOn w:val="Normal"/>
    <w:qFormat/>
    <w:pPr/>
    <w:rPr/>
  </w:style>
  <w:style w:type="paragraph" w:styleId="WfxKeyword">
    <w:name w:val="WfxKeyword"/>
    <w:basedOn w:val="Normal"/>
    <w:qFormat/>
    <w:pPr/>
    <w:rPr/>
  </w:style>
  <w:style w:type="paragraph" w:styleId="WfxBillCode">
    <w:name w:val="WfxBillCode"/>
    <w:basedOn w:val="Normal"/>
    <w:qFormat/>
    <w:pPr/>
    <w:rPr/>
  </w:style>
  <w:style w:type="paragraph" w:styleId="ListNumber">
    <w:name w:val="List Number"/>
    <w:basedOn w:val="Normal"/>
    <w:qFormat/>
    <w:pPr>
      <w:numPr>
        <w:ilvl w:val="0"/>
        <w:numId w:val="2"/>
      </w:numPr>
    </w:pPr>
    <w:rPr/>
  </w:style>
  <w:style w:type="paragraph" w:styleId="ListNumber3">
    <w:name w:val="List Number 3"/>
    <w:basedOn w:val="ListNumber"/>
    <w:qFormat/>
    <w:pPr>
      <w:numPr>
        <w:ilvl w:val="0"/>
        <w:numId w:val="4"/>
      </w:numPr>
      <w:tabs>
        <w:tab w:val="clear" w:pos="720"/>
        <w:tab w:val="left" w:pos="357" w:leader="none"/>
      </w:tabs>
      <w:spacing w:lineRule="auto" w:line="480" w:before="0" w:after="0"/>
    </w:pPr>
    <w:rPr>
      <w:rFonts w:ascii="Arial" w:hAnsi="Arial" w:cs="Arial"/>
      <w:sz w:val="22"/>
      <w:lang w:val="fr-FR"/>
    </w:rPr>
  </w:style>
  <w:style w:type="paragraph" w:styleId="BodyTextIndent">
    <w:name w:val="Body Text Indent"/>
    <w:basedOn w:val="Normal"/>
    <w:pPr>
      <w:ind w:hanging="720" w:start="720" w:end="0"/>
    </w:pPr>
    <w:rPr>
      <w:b/>
      <w:sz w:val="22"/>
      <w:lang w:val="pt-B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2">
    <w:name w:val="Body Text Indent 2"/>
    <w:basedOn w:val="Normal"/>
    <w:qFormat/>
    <w:pPr>
      <w:ind w:hanging="0" w:start="720" w:end="0"/>
    </w:pPr>
    <w:rPr>
      <w:sz w:val="22"/>
    </w:rPr>
  </w:style>
  <w:style w:type="paragraph" w:styleId="BodyTextIndent3">
    <w:name w:val="Body Text Indent 3"/>
    <w:basedOn w:val="Normal"/>
    <w:qFormat/>
    <w:pPr>
      <w:tabs>
        <w:tab w:val="clear" w:pos="720"/>
        <w:tab w:val="left" w:pos="709" w:leader="none"/>
      </w:tabs>
      <w:ind w:hanging="709" w:start="709"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2001-05-30T09:52:00Z</dcterms:created>
  <dc:creator>Jennifer Mills</dc:creator>
  <dc:description/>
  <dc:language>en-CA</dc:language>
  <cp:lastModifiedBy>Jennifer Mills</cp:lastModifiedBy>
  <dcterms:modified xsi:type="dcterms:W3CDTF">2001-05-30T09:52:00Z</dcterms:modified>
  <cp:revision>2</cp:revision>
  <dc:subject/>
  <dc:title>Translation from Spanish</dc:title>
</cp:coreProperties>
</file>