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T:\skh\enr0831l.skh</w:t>
      </w:r>
    </w:p>
    <w:p>
      <w:pPr>
        <w:pStyle w:val="Normal"/>
        <w:rPr/>
      </w:pPr>
      <w:r>
        <w:rPr/>
      </w:r>
    </w:p>
    <w:p>
      <w:pPr>
        <w:pStyle w:val="Normal"/>
        <w:rPr/>
      </w:pPr>
      <w:r>
        <w:rPr/>
        <w:t>Re: EnronOnline Legal Survey</w:t>
      </w:r>
    </w:p>
    <w:p>
      <w:pPr>
        <w:pStyle w:val="Normal"/>
        <w:rPr/>
      </w:pPr>
      <w:r>
        <w:rPr/>
      </w:r>
    </w:p>
    <w:p>
      <w:pPr>
        <w:pStyle w:val="Normal"/>
        <w:rPr/>
      </w:pPr>
      <w:r>
        <w:rPr/>
        <w:t>Thank you for your e-mail of August 25.</w:t>
      </w:r>
    </w:p>
    <w:p>
      <w:pPr>
        <w:pStyle w:val="Normal"/>
        <w:rPr/>
      </w:pPr>
      <w:r>
        <w:rPr/>
      </w:r>
    </w:p>
    <w:p>
      <w:pPr>
        <w:pStyle w:val="Normal"/>
        <w:numPr>
          <w:ilvl w:val="0"/>
          <w:numId w:val="1"/>
        </w:numPr>
        <w:rPr/>
      </w:pPr>
      <w:r>
        <w:rPr/>
        <w:t>Non-compliance with the FETL</w:t>
      </w:r>
    </w:p>
    <w:p>
      <w:pPr>
        <w:pStyle w:val="Normal"/>
        <w:rPr/>
      </w:pPr>
      <w:r>
        <w:rPr/>
      </w:r>
    </w:p>
    <w:p>
      <w:pPr>
        <w:pStyle w:val="Normal"/>
        <w:ind w:start="851" w:end="0"/>
        <w:rPr/>
      </w:pPr>
      <w:r>
        <w:rPr/>
        <w:t xml:space="preserve">As we discussed before, a cross-border OTC commodity derivative transaction requires a prior report to the Bank of Korea.  This requirement applies to either of the parties; i.e., it would suffice for either of the parties party files the report.  We advised you before that the Supreme Court ruled that a non-compliance with the FETL and regulations thereunder does not invalidate the contract; however, foreign exchange authorization must be obtained for execution of a judgment and remittance of the proceeds. In addition, a violation of the FETL and regulations thereunder may result in criminal sanctions to the parties including imprisonment and/or fine. </w:t>
      </w:r>
    </w:p>
    <w:p>
      <w:pPr>
        <w:pStyle w:val="Normal"/>
        <w:rPr/>
      </w:pPr>
      <w:r>
        <w:rPr/>
      </w:r>
    </w:p>
    <w:p>
      <w:pPr>
        <w:pStyle w:val="Normal"/>
        <w:numPr>
          <w:ilvl w:val="0"/>
          <w:numId w:val="1"/>
        </w:numPr>
        <w:rPr/>
      </w:pPr>
      <w:r>
        <w:rPr/>
        <w:t>Onshore OTC commodity derivative transaction</w:t>
      </w:r>
    </w:p>
    <w:p>
      <w:pPr>
        <w:pStyle w:val="Normal"/>
        <w:rPr/>
      </w:pPr>
      <w:r>
        <w:rPr/>
      </w:r>
    </w:p>
    <w:p>
      <w:pPr>
        <w:pStyle w:val="Normal"/>
        <w:ind w:start="851" w:end="0"/>
        <w:rPr/>
      </w:pPr>
      <w:r>
        <w:rPr/>
        <w:t>The FETL and regulations thereunder would not apply to an onshore OTC commodity derivative transaction that does not involve foreign currency.</w:t>
      </w:r>
    </w:p>
    <w:p>
      <w:pPr>
        <w:pStyle w:val="Normal"/>
        <w:ind w:start="851" w:end="0"/>
        <w:rPr/>
      </w:pPr>
      <w:r>
        <w:rPr/>
      </w:r>
    </w:p>
    <w:p>
      <w:pPr>
        <w:pStyle w:val="Normal"/>
        <w:ind w:start="851" w:end="0"/>
        <w:rPr/>
      </w:pPr>
      <w:r>
        <w:rPr/>
        <w:t>As we discussed over the telephone, the Futures Transaction Law and presidential decree thereunder authorize the FSC to regulate any OTC commodity transactions that are similar to transactions on the futures exchange.  We are not aware, however, that the FSC issued any regulations on onshore OTC commodity derivative transactions.</w:t>
      </w:r>
    </w:p>
    <w:p>
      <w:pPr>
        <w:pStyle w:val="Normal"/>
        <w:ind w:start="851" w:end="0"/>
        <w:rPr/>
      </w:pPr>
      <w:r>
        <w:rPr/>
      </w:r>
    </w:p>
    <w:p>
      <w:pPr>
        <w:pStyle w:val="Normal"/>
        <w:ind w:start="851" w:end="0"/>
        <w:rPr/>
      </w:pPr>
      <w:r>
        <w:rPr/>
        <w:t xml:space="preserve">In addition, it is unclear whether weather derivatives would be considered </w:t>
      </w:r>
      <w:r>
        <w:rPr/>
        <w:t>“</w:t>
      </w:r>
      <w:r>
        <w:rPr/>
        <w:t>commodity transactions</w:t>
      </w:r>
      <w:r>
        <w:rPr/>
        <w:t>”</w:t>
      </w:r>
      <w:r>
        <w:rPr/>
        <w:t xml:space="preserve"> under the Futures Transaction Law.</w:t>
      </w:r>
    </w:p>
    <w:p>
      <w:pPr>
        <w:pStyle w:val="Normal"/>
        <w:ind w:start="851" w:end="0"/>
        <w:rPr/>
      </w:pPr>
      <w:r>
        <w:rPr/>
      </w:r>
    </w:p>
    <w:p>
      <w:pPr>
        <w:pStyle w:val="Normal"/>
        <w:ind w:start="851" w:end="0"/>
        <w:rPr/>
      </w:pPr>
      <w:r>
        <w:rPr/>
        <w:t xml:space="preserve">Regards, </w:t>
      </w:r>
    </w:p>
    <w:sectPr>
      <w:type w:val="nextPage"/>
      <w:pgSz w:w="12240" w:h="15840"/>
      <w:pgMar w:left="1418" w:right="1418" w:gutter="0" w:header="0" w:top="1418" w:footer="0"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855"/>
        </w:tabs>
        <w:ind w:start="855" w:hanging="85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napToGrid w:val="false"/>
      <w:spacing w:lineRule="atLeast" w:line="280"/>
      <w:jc w:val="both"/>
    </w:pPr>
    <w:rPr>
      <w:rFonts w:ascii="Times New Roman" w:hAnsi="Times New Roman" w:eastAsia="바탕체" w:cs="Times New Roman"/>
      <w:color w:val="auto"/>
      <w:kern w:val="2"/>
      <w:sz w:val="24"/>
      <w:szCs w:val="20"/>
      <w:lang w:val="en-US" w:eastAsia="ko-KR" w:bidi="hi-IN"/>
    </w:rPr>
  </w:style>
  <w:style w:type="character" w:styleId="WW8Num1z0">
    <w:name w:val="WW8Num1z0"/>
    <w:qFormat/>
    <w:rPr/>
  </w:style>
  <w:style w:type="character" w:styleId="Style14">
    <w:name w:val="기본 단락 글꼴"/>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5">
    <w:name w:val="국문유형"/>
    <w:basedOn w:val="Normal"/>
    <w:qFormat/>
    <w:pPr>
      <w:spacing w:lineRule="exact" w:line="460"/>
    </w:pPr>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Header">
    <w:name w:val="header"/>
    <w:basedOn w:val="Normal"/>
    <w:pPr>
      <w:tabs>
        <w:tab w:val="clear" w:pos="851"/>
        <w:tab w:val="center" w:pos="4252" w:leader="none"/>
        <w:tab w:val="right" w:pos="8504" w:leader="none"/>
      </w:tabs>
    </w:pPr>
    <w:rPr/>
  </w:style>
  <w:style w:type="paragraph" w:styleId="Footer">
    <w:name w:val="footer"/>
    <w:basedOn w:val="Normal"/>
    <w:pPr>
      <w:tabs>
        <w:tab w:val="clear" w:pos="851"/>
        <w:tab w:val="center" w:pos="4252" w:leader="none"/>
        <w:tab w:val="right" w:pos="850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2000-08-31T03:32:00Z</dcterms:created>
  <dc:creator>Default</dc:creator>
  <dc:description/>
  <dc:language>en-CA</dc:language>
  <cp:lastModifiedBy>Default</cp:lastModifiedBy>
  <dcterms:modified xsi:type="dcterms:W3CDTF">2000-08-31T03:40:00Z</dcterms:modified>
  <cp:revision>1</cp:revision>
  <dc:subject/>
  <dc:title>T:\skh\enr0831l</dc:title>
</cp:coreProperties>
</file>