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napToGrid w:val="false"/>
        <w:spacing w:lineRule="atLeast" w:line="280"/>
        <w:rPr>
          <w:u w:val="single"/>
        </w:rPr>
      </w:pPr>
      <w:r>
        <w:rPr>
          <w:u w:val="single"/>
        </w:rPr>
        <w:t xml:space="preserve">EnronOnline – Questions  </w:t>
      </w:r>
    </w:p>
    <w:p>
      <w:pPr>
        <w:pStyle w:val="BodyText"/>
        <w:snapToGrid w:val="false"/>
        <w:spacing w:lineRule="atLeast" w:line="280"/>
        <w:rPr>
          <w:b/>
          <w:u w:val="single"/>
        </w:rPr>
      </w:pPr>
      <w:r>
        <w:rPr>
          <w:b/>
          <w:u w:val="single"/>
        </w:rPr>
      </w:r>
    </w:p>
    <w:p>
      <w:pPr>
        <w:pStyle w:val="Normal"/>
        <w:numPr>
          <w:ilvl w:val="0"/>
          <w:numId w:val="4"/>
        </w:numPr>
        <w:snapToGrid w:val="false"/>
        <w:spacing w:lineRule="atLeast" w:line="280"/>
        <w:rPr>
          <w:color w:val="000000"/>
          <w:sz w:val="24"/>
          <w:lang w:eastAsia="en-US"/>
        </w:rPr>
      </w:pPr>
      <w:r>
        <w:rPr>
          <w:color w:val="000000"/>
          <w:sz w:val="24"/>
          <w:lang w:eastAsia="en-US"/>
        </w:rPr>
        <w:t xml:space="preserve">Have relevant regulators in Korea made any statements regarding marketing of or dealing in derivative products through the internet or other electronic systems? If so, please </w:t>
      </w:r>
      <w:r>
        <w:rPr>
          <w:color w:val="000000"/>
          <w:sz w:val="24"/>
          <w:u w:val="single"/>
          <w:lang w:eastAsia="en-US"/>
        </w:rPr>
        <w:t>provide us with a brief summary.</w:t>
      </w:r>
      <w:r>
        <w:rPr>
          <w:color w:val="000000"/>
          <w:sz w:val="24"/>
          <w:u w:val="single"/>
        </w:rPr>
        <w:t xml:space="preserve">        </w:t>
      </w:r>
      <w:r>
        <w:rPr>
          <w:color w:val="000000"/>
          <w:sz w:val="24"/>
          <w:u w:val="single"/>
          <w:lang w:eastAsia="en-US"/>
        </w:rPr>
        <w:t xml:space="preserve">                                  </w:t>
      </w:r>
      <w:r>
        <w:rPr>
          <w:color w:val="000000"/>
          <w:sz w:val="24"/>
          <w:u w:val="single"/>
        </w:rPr>
        <w:t xml:space="preserve">  </w:t>
      </w:r>
      <w:r>
        <w:rPr>
          <w:color w:val="000000"/>
          <w:sz w:val="24"/>
          <w:u w:val="single"/>
          <w:lang w:eastAsia="en-US"/>
        </w:rPr>
        <w:t xml:space="preserve">    </w:t>
      </w:r>
    </w:p>
    <w:p>
      <w:pPr>
        <w:pStyle w:val="Normal"/>
        <w:snapToGrid w:val="false"/>
        <w:spacing w:lineRule="atLeast" w:line="280"/>
        <w:rPr>
          <w:rFonts w:eastAsia="Times New Roman"/>
          <w:color w:val="000000"/>
          <w:sz w:val="24"/>
        </w:rPr>
      </w:pPr>
      <w:r>
        <w:rPr>
          <w:rFonts w:eastAsia="Times New Roman"/>
          <w:color w:val="000000"/>
          <w:sz w:val="24"/>
        </w:rPr>
        <w:t xml:space="preserve">                                                                              </w:t>
      </w:r>
    </w:p>
    <w:p>
      <w:pPr>
        <w:pStyle w:val="Normal"/>
        <w:snapToGrid w:val="false"/>
        <w:spacing w:lineRule="atLeast" w:line="280"/>
        <w:ind w:start="720" w:end="0"/>
        <w:rPr>
          <w:color w:val="000000"/>
          <w:sz w:val="24"/>
        </w:rPr>
      </w:pPr>
      <w:r>
        <w:rPr>
          <w:color w:val="000000"/>
          <w:sz w:val="24"/>
        </w:rPr>
        <w:t xml:space="preserve">There are no laws or regulations in Korea that regulate marketing of OTC derivative transactions through the internet or otherwise.  With respect to the foreign exchange regulations, please see the discussion below.                                    </w:t>
      </w:r>
    </w:p>
    <w:p>
      <w:pPr>
        <w:pStyle w:val="Normal"/>
        <w:snapToGrid w:val="false"/>
        <w:spacing w:lineRule="atLeast" w:line="280"/>
        <w:rPr>
          <w:color w:val="000000"/>
          <w:sz w:val="24"/>
        </w:rPr>
      </w:pPr>
      <w:r>
        <w:rPr>
          <w:color w:val="000000"/>
          <w:sz w:val="24"/>
        </w:rPr>
      </w:r>
    </w:p>
    <w:p>
      <w:pPr>
        <w:pStyle w:val="Normal"/>
        <w:numPr>
          <w:ilvl w:val="0"/>
          <w:numId w:val="8"/>
        </w:numPr>
        <w:snapToGrid w:val="false"/>
        <w:spacing w:lineRule="atLeast" w:line="280"/>
        <w:rPr>
          <w:color w:val="000000"/>
          <w:sz w:val="24"/>
          <w:lang w:eastAsia="en-US"/>
        </w:rPr>
      </w:pPr>
      <w:r>
        <w:rPr>
          <w:sz w:val="24"/>
          <w:lang w:eastAsia="en-US"/>
        </w:rPr>
        <w:t>Do any specific laws or regulations exist in Korea, which would prevent or in any way impact upon marketing or trading of derivatives through the internet? In answering this question, please address issues relating to contractual formation and enforceability of contracts entered into via the internet, in particular</w:t>
      </w:r>
      <w:r>
        <w:rPr>
          <w:sz w:val="24"/>
        </w:rPr>
        <w:t xml:space="preserve"> the contract formation structure of </w:t>
      </w:r>
      <w:r>
        <w:rPr>
          <w:sz w:val="24"/>
          <w:u w:val="single"/>
        </w:rPr>
        <w:t>EnronOnline described above.</w:t>
      </w:r>
      <w:r>
        <w:rPr>
          <w:sz w:val="24"/>
          <w:u w:val="single"/>
        </w:rPr>
        <w:t xml:space="preserve">                                                </w:t>
      </w:r>
    </w:p>
    <w:p>
      <w:pPr>
        <w:pStyle w:val="Normal"/>
        <w:snapToGrid w:val="false"/>
        <w:spacing w:lineRule="atLeast" w:line="280"/>
        <w:rPr>
          <w:color w:val="000000"/>
          <w:sz w:val="24"/>
          <w:lang w:eastAsia="en-US"/>
        </w:rPr>
      </w:pPr>
      <w:r>
        <w:rPr>
          <w:color w:val="000000"/>
          <w:sz w:val="24"/>
          <w:lang w:eastAsia="en-US"/>
        </w:rPr>
      </w:r>
    </w:p>
    <w:p>
      <w:pPr>
        <w:pStyle w:val="Normal"/>
        <w:snapToGrid w:val="false"/>
        <w:spacing w:lineRule="atLeast" w:line="280"/>
        <w:ind w:start="720" w:end="0"/>
        <w:rPr>
          <w:color w:val="000000"/>
          <w:sz w:val="24"/>
        </w:rPr>
      </w:pPr>
      <w:r>
        <w:rPr>
          <w:color w:val="000000"/>
          <w:sz w:val="24"/>
        </w:rPr>
        <w:t>See the comment under 1 above.  The Electronic Transaction Basic Law (ETBL) will apply to internet transactions.  The ETBL provides, among other things, that an electronically produced, transmitted or stored document qualifies as a written document and will be admissible in courts as evidence.</w:t>
      </w:r>
    </w:p>
    <w:p>
      <w:pPr>
        <w:pStyle w:val="Normal"/>
        <w:snapToGrid w:val="false"/>
        <w:spacing w:lineRule="atLeast" w:line="280"/>
        <w:ind w:start="720" w:end="0"/>
        <w:rPr>
          <w:color w:val="000000"/>
          <w:sz w:val="24"/>
        </w:rPr>
      </w:pPr>
      <w:r>
        <w:rPr>
          <w:color w:val="000000"/>
          <w:sz w:val="24"/>
        </w:rPr>
      </w:r>
    </w:p>
    <w:p>
      <w:pPr>
        <w:pStyle w:val="Normal"/>
        <w:snapToGrid w:val="false"/>
        <w:spacing w:lineRule="atLeast" w:line="280"/>
        <w:ind w:start="720" w:end="0"/>
        <w:rPr/>
      </w:pPr>
      <w:r>
        <w:rPr>
          <w:color w:val="000000"/>
          <w:sz w:val="24"/>
        </w:rPr>
        <w:t xml:space="preserve">With respect to the contract formation, the ETBL provides that an electronic signature certified by a public certificate authority in Korea will have the same effect as a manual signature or sealing.  We understand that the execution of the trade on EnronOnline will not be certified by a public certificate authority in Korea.  Under Korean law, a contract formation does not require a writing; an oral contract is equally enforceable.  Valid formation of a contract is a matter of evidence; Clause 2(d) of the ETA provides that </w:t>
      </w:r>
      <w:r>
        <w:rPr>
          <w:color w:val="000000"/>
          <w:sz w:val="24"/>
        </w:rPr>
        <w:t>“</w:t>
      </w:r>
      <w:r>
        <w:rPr>
          <w:color w:val="000000"/>
          <w:sz w:val="24"/>
        </w:rPr>
        <w:t xml:space="preserve">by </w:t>
      </w:r>
      <w:r>
        <w:rPr>
          <w:color w:val="000000"/>
          <w:sz w:val="24"/>
        </w:rPr>
        <w:t>‘</w:t>
      </w:r>
      <w:r>
        <w:rPr>
          <w:color w:val="000000"/>
          <w:sz w:val="24"/>
        </w:rPr>
        <w:t>clicking</w:t>
      </w:r>
      <w:r>
        <w:rPr>
          <w:color w:val="000000"/>
          <w:sz w:val="24"/>
        </w:rPr>
        <w:t>’</w:t>
      </w:r>
      <w:r>
        <w:rPr>
          <w:color w:val="000000"/>
          <w:sz w:val="24"/>
        </w:rPr>
        <w:t xml:space="preserve"> on the designated spaces in this Agreement, Counterparty itself is executing this Agreement on its own behalf.</w:t>
      </w:r>
      <w:r>
        <w:rPr>
          <w:color w:val="000000"/>
          <w:sz w:val="24"/>
        </w:rPr>
        <w:t>”</w:t>
      </w:r>
      <w:r>
        <w:rPr>
          <w:color w:val="000000"/>
          <w:sz w:val="24"/>
        </w:rPr>
        <w:t xml:space="preserve">  Although there is no court precedent in point, we believe that this clause alone may not be sufficient as evidence of due execution.  The counterparty may argue that the clicking was made by mistake or misunderstood provisions in the ETA.  It might be advisable to require at least two clicking for material provisions.  Also, it would be prudent to ascertain that the Pasword Application is duly authorized and executed by the Counterpartyand the passwords are maintained under a sufficiently secure in order to ensure that all agreement in the name of the counterparty have been executed by the counterparty itself.      </w:t>
      </w:r>
    </w:p>
    <w:p>
      <w:pPr>
        <w:pStyle w:val="Normal"/>
        <w:snapToGrid w:val="false"/>
        <w:spacing w:lineRule="atLeast" w:line="280"/>
        <w:rPr>
          <w:color w:val="000000"/>
          <w:sz w:val="24"/>
        </w:rPr>
      </w:pPr>
      <w:r>
        <w:rPr>
          <w:color w:val="000000"/>
          <w:sz w:val="24"/>
        </w:rPr>
      </w:r>
    </w:p>
    <w:p>
      <w:pPr>
        <w:pStyle w:val="Normal"/>
        <w:numPr>
          <w:ilvl w:val="0"/>
          <w:numId w:val="8"/>
        </w:numPr>
        <w:snapToGrid w:val="false"/>
        <w:spacing w:lineRule="atLeast" w:line="280"/>
        <w:rPr>
          <w:color w:val="000000"/>
          <w:sz w:val="24"/>
          <w:lang w:eastAsia="en-US"/>
        </w:rPr>
      </w:pPr>
      <w:r>
        <w:rPr>
          <w:color w:val="000000"/>
          <w:sz w:val="24"/>
          <w:lang w:eastAsia="en-US"/>
        </w:rPr>
        <w:t xml:space="preserve">Please confirm that by marketing to or trading with Korean counterparties via the internet, Korean regulatory bodies, laws or regulations will not consider (i) the relevant offshore Enron entity maintaining the website and servers located outside Korea; or (ii) the relevant offshore Enron entity trading with the Korean counterparties, as carrying on business or having a permanent establishment in Korea such that such Enron entities would be exposed to Korean tax or required to register or establish an office or form a </w:t>
      </w:r>
      <w:r>
        <w:rPr>
          <w:color w:val="000000"/>
          <w:sz w:val="24"/>
          <w:u w:val="single"/>
          <w:lang w:eastAsia="en-US"/>
        </w:rPr>
        <w:t>Korean entity.</w:t>
      </w:r>
      <w:r>
        <w:rPr>
          <w:color w:val="000000"/>
          <w:sz w:val="24"/>
          <w:u w:val="single"/>
        </w:rPr>
        <w:t xml:space="preserve">                                                             </w:t>
      </w:r>
      <w:r>
        <w:rPr>
          <w:color w:val="000000"/>
          <w:sz w:val="24"/>
          <w:u w:val="single"/>
          <w:lang w:eastAsia="en-US"/>
        </w:rPr>
        <w:t xml:space="preserve"> </w:t>
      </w:r>
    </w:p>
    <w:p>
      <w:pPr>
        <w:pStyle w:val="Normal"/>
        <w:snapToGrid w:val="false"/>
        <w:spacing w:lineRule="atLeast" w:line="280"/>
        <w:rPr>
          <w:color w:val="000000"/>
          <w:sz w:val="24"/>
          <w:lang w:eastAsia="en-US"/>
        </w:rPr>
      </w:pPr>
      <w:r>
        <w:rPr>
          <w:color w:val="000000"/>
          <w:sz w:val="24"/>
          <w:lang w:eastAsia="en-US"/>
        </w:rPr>
      </w:r>
    </w:p>
    <w:p>
      <w:pPr>
        <w:pStyle w:val="Normal"/>
        <w:snapToGrid w:val="false"/>
        <w:spacing w:lineRule="atLeast" w:line="280"/>
        <w:ind w:start="720" w:end="0"/>
        <w:rPr/>
      </w:pPr>
      <w:r>
        <w:rPr>
          <w:color w:val="000000"/>
          <w:sz w:val="24"/>
        </w:rPr>
        <w:t>There are</w:t>
      </w:r>
      <w:r>
        <w:rPr>
          <w:color w:val="000000"/>
          <w:sz w:val="24"/>
        </w:rPr>
        <w:t xml:space="preserve"> no clear tax rules</w:t>
      </w:r>
      <w:r>
        <w:rPr>
          <w:color w:val="000000"/>
          <w:sz w:val="24"/>
        </w:rPr>
        <w:t xml:space="preserve"> on this point.  But, to date the Korean tax authorities have not treated such activities </w:t>
      </w:r>
      <w:r>
        <w:rPr>
          <w:color w:val="000000"/>
          <w:sz w:val="24"/>
        </w:rPr>
        <w:t>of foreign entities</w:t>
      </w:r>
      <w:r>
        <w:rPr>
          <w:color w:val="000000"/>
          <w:sz w:val="24"/>
        </w:rPr>
        <w:t xml:space="preserve"> (without their fixed assets, equipment, employees or an agent in Korea) a</w:t>
      </w:r>
      <w:r>
        <w:rPr>
          <w:color w:val="000000"/>
          <w:sz w:val="24"/>
          <w:lang w:eastAsia="en-US"/>
        </w:rPr>
        <w:t>s carrying on business or having a permanent establishment in Korea</w:t>
      </w:r>
      <w:r>
        <w:rPr>
          <w:color w:val="000000"/>
          <w:sz w:val="24"/>
        </w:rPr>
        <w:t xml:space="preserve">. </w:t>
      </w:r>
    </w:p>
    <w:p>
      <w:pPr>
        <w:pStyle w:val="Normal"/>
        <w:snapToGrid w:val="false"/>
        <w:spacing w:lineRule="atLeast" w:line="280"/>
        <w:ind w:start="720" w:end="0"/>
        <w:rPr>
          <w:color w:val="000000"/>
          <w:sz w:val="24"/>
        </w:rPr>
      </w:pPr>
      <w:r>
        <w:rPr>
          <w:color w:val="000000"/>
          <w:sz w:val="24"/>
        </w:rPr>
      </w:r>
    </w:p>
    <w:p>
      <w:pPr>
        <w:pStyle w:val="Normal"/>
        <w:numPr>
          <w:ilvl w:val="0"/>
          <w:numId w:val="8"/>
        </w:numPr>
        <w:snapToGrid w:val="false"/>
        <w:spacing w:lineRule="atLeast" w:line="280"/>
        <w:rPr>
          <w:color w:val="000000"/>
          <w:sz w:val="24"/>
          <w:lang w:eastAsia="en-US"/>
        </w:rPr>
      </w:pPr>
      <w:r>
        <w:rPr>
          <w:color w:val="000000"/>
          <w:sz w:val="24"/>
          <w:lang w:eastAsia="en-US"/>
        </w:rPr>
        <w:t xml:space="preserve">Are there any Korean consents, approvals or licenses which either the relevant Enron </w:t>
      </w:r>
      <w:r>
        <w:rPr>
          <w:color w:val="000000"/>
          <w:sz w:val="24"/>
          <w:u w:val="single"/>
          <w:lang w:eastAsia="en-US"/>
        </w:rPr>
        <w:t>affiliate or the Korean counterparty should obtain in order to trade on EnronOnline?</w:t>
      </w:r>
      <w:r>
        <w:rPr>
          <w:color w:val="000000"/>
          <w:sz w:val="24"/>
          <w:u w:val="single"/>
        </w:rPr>
        <w:t xml:space="preserve">      </w:t>
      </w:r>
    </w:p>
    <w:p>
      <w:pPr>
        <w:pStyle w:val="Normal"/>
        <w:snapToGrid w:val="false"/>
        <w:spacing w:lineRule="atLeast" w:line="280"/>
        <w:rPr>
          <w:color w:val="000000"/>
          <w:sz w:val="24"/>
          <w:lang w:eastAsia="en-US"/>
        </w:rPr>
      </w:pPr>
      <w:r>
        <w:rPr>
          <w:color w:val="000000"/>
          <w:sz w:val="24"/>
          <w:lang w:eastAsia="en-US"/>
        </w:rPr>
      </w:r>
    </w:p>
    <w:p>
      <w:pPr>
        <w:pStyle w:val="2"/>
        <w:rPr/>
      </w:pPr>
      <w:r>
        <w:rPr/>
        <w:t xml:space="preserve">Except for the approval required for the transaction itself (Please see the discussion below), there is no consent, approval or license that is required for the trading on EnronOnline. </w:t>
      </w:r>
    </w:p>
    <w:p>
      <w:pPr>
        <w:pStyle w:val="Normal"/>
        <w:snapToGrid w:val="false"/>
        <w:spacing w:lineRule="atLeast" w:line="280"/>
        <w:rPr>
          <w:color w:val="000000"/>
          <w:sz w:val="24"/>
        </w:rPr>
      </w:pPr>
      <w:r>
        <w:rPr>
          <w:color w:val="000000"/>
          <w:sz w:val="24"/>
        </w:rPr>
      </w:r>
    </w:p>
    <w:p>
      <w:pPr>
        <w:pStyle w:val="Normal"/>
        <w:numPr>
          <w:ilvl w:val="0"/>
          <w:numId w:val="8"/>
        </w:numPr>
        <w:snapToGrid w:val="false"/>
        <w:spacing w:lineRule="atLeast" w:line="280"/>
        <w:rPr>
          <w:color w:val="000000"/>
          <w:sz w:val="24"/>
          <w:lang w:eastAsia="en-US"/>
        </w:rPr>
      </w:pPr>
      <w:r>
        <w:rPr>
          <w:color w:val="000000"/>
          <w:sz w:val="24"/>
          <w:lang w:eastAsia="en-US"/>
        </w:rPr>
        <w:t xml:space="preserve">Attached as Annex A is a copy of the Password Application, and as Annex B is a copy of the ETA. Please let us have your opinion, as a matter of Korean law, on their legality, </w:t>
      </w:r>
      <w:r>
        <w:rPr>
          <w:color w:val="000000"/>
          <w:sz w:val="24"/>
          <w:u w:val="single"/>
          <w:lang w:eastAsia="en-US"/>
        </w:rPr>
        <w:t>validity and enforceability in accordance with its terms.</w:t>
      </w:r>
      <w:r>
        <w:rPr>
          <w:color w:val="000000"/>
          <w:sz w:val="24"/>
          <w:u w:val="single"/>
        </w:rPr>
        <w:t xml:space="preserve">       </w:t>
      </w:r>
      <w:r>
        <w:rPr>
          <w:color w:val="000000"/>
          <w:sz w:val="24"/>
          <w:u w:val="single"/>
          <w:lang w:eastAsia="en-US"/>
        </w:rPr>
        <w:t xml:space="preserve">                     </w:t>
      </w:r>
    </w:p>
    <w:p>
      <w:pPr>
        <w:pStyle w:val="Normal"/>
        <w:snapToGrid w:val="false"/>
        <w:spacing w:lineRule="atLeast" w:line="280"/>
        <w:rPr>
          <w:color w:val="000000"/>
          <w:sz w:val="24"/>
          <w:lang w:eastAsia="en-US"/>
        </w:rPr>
      </w:pPr>
      <w:r>
        <w:rPr>
          <w:color w:val="000000"/>
          <w:sz w:val="24"/>
          <w:lang w:eastAsia="en-US"/>
        </w:rPr>
      </w:r>
    </w:p>
    <w:p>
      <w:pPr>
        <w:pStyle w:val="Normal"/>
        <w:snapToGrid w:val="false"/>
        <w:spacing w:lineRule="atLeast" w:line="280"/>
        <w:ind w:start="720" w:end="0"/>
        <w:rPr>
          <w:color w:val="000000"/>
          <w:sz w:val="24"/>
        </w:rPr>
      </w:pPr>
      <w:r>
        <w:rPr>
          <w:color w:val="000000"/>
          <w:sz w:val="24"/>
        </w:rPr>
        <w:t>We have the following comments on ETA (see also the comment under 2 above):</w:t>
      </w:r>
    </w:p>
    <w:p>
      <w:pPr>
        <w:pStyle w:val="Normal"/>
        <w:snapToGrid w:val="false"/>
        <w:spacing w:lineRule="atLeast" w:line="280"/>
        <w:ind w:start="720" w:end="0"/>
        <w:rPr>
          <w:color w:val="000000"/>
          <w:sz w:val="24"/>
        </w:rPr>
      </w:pPr>
      <w:r>
        <w:rPr>
          <w:color w:val="000000"/>
          <w:sz w:val="24"/>
        </w:rPr>
      </w:r>
    </w:p>
    <w:p>
      <w:pPr>
        <w:pStyle w:val="Normal"/>
        <w:snapToGrid w:val="false"/>
        <w:spacing w:lineRule="atLeast" w:line="280"/>
        <w:ind w:start="720" w:end="0"/>
        <w:rPr>
          <w:color w:val="000000"/>
          <w:sz w:val="24"/>
        </w:rPr>
      </w:pPr>
      <w:r>
        <w:rPr>
          <w:color w:val="000000"/>
          <w:sz w:val="24"/>
        </w:rPr>
        <w:t xml:space="preserve">- Clause 2(b): The use by Enron of the </w:t>
      </w:r>
      <w:r>
        <w:rPr>
          <w:color w:val="000000"/>
          <w:sz w:val="24"/>
        </w:rPr>
        <w:t>“</w:t>
      </w:r>
      <w:r>
        <w:rPr>
          <w:color w:val="000000"/>
          <w:sz w:val="24"/>
        </w:rPr>
        <w:t>resultant information</w:t>
      </w:r>
      <w:r>
        <w:rPr>
          <w:color w:val="000000"/>
          <w:sz w:val="24"/>
        </w:rPr>
        <w:t>”</w:t>
      </w:r>
    </w:p>
    <w:p>
      <w:pPr>
        <w:pStyle w:val="Normal"/>
        <w:snapToGrid w:val="false"/>
        <w:spacing w:lineRule="atLeast" w:line="280"/>
        <w:ind w:start="720" w:end="0"/>
        <w:rPr>
          <w:color w:val="000000"/>
          <w:sz w:val="24"/>
        </w:rPr>
      </w:pPr>
      <w:r>
        <w:rPr>
          <w:color w:val="000000"/>
          <w:sz w:val="24"/>
        </w:rPr>
      </w:r>
    </w:p>
    <w:p>
      <w:pPr>
        <w:pStyle w:val="Normal"/>
        <w:snapToGrid w:val="false"/>
        <w:spacing w:lineRule="atLeast" w:line="280"/>
        <w:ind w:start="720" w:end="0"/>
        <w:rPr>
          <w:color w:val="000000"/>
          <w:sz w:val="24"/>
        </w:rPr>
      </w:pPr>
      <w:r>
        <w:rPr>
          <w:color w:val="000000"/>
          <w:sz w:val="24"/>
        </w:rPr>
        <w:t>Under Article 13 of the ETBL, A party to an electronic transaction may obtain information on the other party only for a specific purpose that is expressly indicated and may not use or disclose such information for purposes other than such specified purpose except with the consent of the other party.  Therefore, the purpose of the use of the resultant information should be more specifically indicated.</w:t>
      </w:r>
    </w:p>
    <w:p>
      <w:pPr>
        <w:pStyle w:val="Normal"/>
        <w:snapToGrid w:val="false"/>
        <w:spacing w:lineRule="atLeast" w:line="280"/>
        <w:ind w:start="720" w:end="0"/>
        <w:rPr>
          <w:color w:val="000000"/>
          <w:sz w:val="24"/>
        </w:rPr>
      </w:pPr>
      <w:r>
        <w:rPr>
          <w:color w:val="000000"/>
          <w:sz w:val="24"/>
        </w:rPr>
      </w:r>
    </w:p>
    <w:p>
      <w:pPr>
        <w:pStyle w:val="Normal"/>
        <w:numPr>
          <w:ilvl w:val="0"/>
          <w:numId w:val="7"/>
        </w:numPr>
        <w:snapToGrid w:val="false"/>
        <w:spacing w:lineRule="atLeast" w:line="280"/>
        <w:rPr>
          <w:color w:val="000000"/>
          <w:sz w:val="24"/>
        </w:rPr>
      </w:pPr>
      <w:r>
        <w:rPr>
          <w:color w:val="000000"/>
          <w:sz w:val="24"/>
        </w:rPr>
        <w:t xml:space="preserve">Clause 3(a): provides in parenthesis -  (regardless of whether Counterparty actually </w:t>
      </w:r>
      <w:r>
        <w:rPr>
          <w:color w:val="000000"/>
          <w:sz w:val="24"/>
        </w:rPr>
        <w:t>‘</w:t>
      </w:r>
      <w:r>
        <w:rPr>
          <w:color w:val="000000"/>
          <w:sz w:val="24"/>
        </w:rPr>
        <w:t>clicks</w:t>
      </w:r>
      <w:r>
        <w:rPr>
          <w:color w:val="000000"/>
          <w:sz w:val="24"/>
        </w:rPr>
        <w:t>”</w:t>
      </w:r>
      <w:r>
        <w:rPr>
          <w:color w:val="000000"/>
          <w:sz w:val="24"/>
        </w:rPr>
        <w:t xml:space="preserve"> on the designated space or views such information).</w:t>
      </w:r>
    </w:p>
    <w:p>
      <w:pPr>
        <w:pStyle w:val="Normal"/>
        <w:snapToGrid w:val="false"/>
        <w:spacing w:lineRule="atLeast" w:line="280"/>
        <w:rPr>
          <w:color w:val="000000"/>
          <w:sz w:val="24"/>
        </w:rPr>
      </w:pPr>
      <w:r>
        <w:rPr>
          <w:color w:val="000000"/>
          <w:sz w:val="24"/>
        </w:rPr>
      </w:r>
    </w:p>
    <w:p>
      <w:pPr>
        <w:pStyle w:val="Normal"/>
        <w:snapToGrid w:val="false"/>
        <w:spacing w:lineRule="atLeast" w:line="280"/>
        <w:ind w:start="720" w:end="0"/>
        <w:rPr>
          <w:color w:val="000000"/>
          <w:sz w:val="24"/>
        </w:rPr>
      </w:pPr>
      <w:r>
        <w:rPr>
          <w:color w:val="000000"/>
          <w:sz w:val="24"/>
        </w:rPr>
        <w:t>A Counterparty who did not click on the designated space may argue that it never agreed to such items.  Therefore, we believe that it would be advisable to require the counterparty to click on any material items on the Website.</w:t>
      </w:r>
    </w:p>
    <w:p>
      <w:pPr>
        <w:pStyle w:val="Normal"/>
        <w:snapToGrid w:val="false"/>
        <w:spacing w:lineRule="atLeast" w:line="280"/>
        <w:ind w:start="720" w:end="0"/>
        <w:rPr>
          <w:color w:val="000000"/>
          <w:sz w:val="24"/>
        </w:rPr>
      </w:pPr>
      <w:r>
        <w:rPr>
          <w:color w:val="000000"/>
          <w:sz w:val="24"/>
        </w:rPr>
      </w:r>
    </w:p>
    <w:p>
      <w:pPr>
        <w:pStyle w:val="Normal"/>
        <w:numPr>
          <w:ilvl w:val="0"/>
          <w:numId w:val="7"/>
        </w:numPr>
        <w:snapToGrid w:val="false"/>
        <w:spacing w:lineRule="atLeast" w:line="280"/>
        <w:rPr>
          <w:color w:val="000000"/>
          <w:sz w:val="24"/>
        </w:rPr>
      </w:pPr>
      <w:r>
        <w:rPr>
          <w:color w:val="000000"/>
          <w:sz w:val="24"/>
        </w:rPr>
        <w:t xml:space="preserve">Clause 3(e) </w:t>
      </w:r>
      <w:r>
        <w:rPr>
          <w:color w:val="000000"/>
          <w:sz w:val="24"/>
        </w:rPr>
        <w:t>–</w:t>
      </w:r>
      <w:r>
        <w:rPr>
          <w:color w:val="000000"/>
          <w:sz w:val="24"/>
        </w:rPr>
        <w:t xml:space="preserve"> </w:t>
      </w:r>
      <w:r>
        <w:rPr>
          <w:color w:val="000000"/>
          <w:sz w:val="24"/>
        </w:rPr>
        <w:t>“</w:t>
      </w:r>
      <w:r>
        <w:rPr>
          <w:color w:val="000000"/>
          <w:sz w:val="24"/>
        </w:rPr>
        <w:t>confirmation shall be valid and binding on Counterparty unless objected to within three business days of the date of transmission thereof.</w:t>
      </w:r>
      <w:r>
        <w:rPr>
          <w:color w:val="000000"/>
          <w:sz w:val="24"/>
        </w:rPr>
        <w:t>”</w:t>
      </w:r>
    </w:p>
    <w:p>
      <w:pPr>
        <w:pStyle w:val="Normal"/>
        <w:snapToGrid w:val="false"/>
        <w:spacing w:lineRule="atLeast" w:line="280"/>
        <w:rPr>
          <w:color w:val="000000"/>
          <w:sz w:val="24"/>
        </w:rPr>
      </w:pPr>
      <w:r>
        <w:rPr>
          <w:color w:val="000000"/>
          <w:sz w:val="24"/>
        </w:rPr>
      </w:r>
    </w:p>
    <w:p>
      <w:pPr>
        <w:pStyle w:val="Normal"/>
        <w:snapToGrid w:val="false"/>
        <w:spacing w:lineRule="atLeast" w:line="280"/>
        <w:ind w:start="720" w:end="0"/>
        <w:rPr/>
      </w:pPr>
      <w:r>
        <w:rPr>
          <w:color w:val="000000"/>
          <w:sz w:val="24"/>
        </w:rPr>
        <w:t xml:space="preserve">Although the matter is not entirely clear, we believe that the ETA may be considered a standardized contract that is subject to the Standardized Contract Regulation Law (SCRL) </w:t>
      </w:r>
      <w:r>
        <w:rPr>
          <w:color w:val="000000"/>
          <w:sz w:val="24"/>
        </w:rPr>
        <w:t>which</w:t>
      </w:r>
      <w:r>
        <w:rPr>
          <w:color w:val="000000"/>
          <w:sz w:val="24"/>
        </w:rPr>
        <w:t xml:space="preserve"> governs standardized contracts used by a company for its business with its many customers with not much negotiation.  Article 12 (1) of SCRL invalidates a provision in a standardized contract that deems a customer to have agreed if he takes no contrary action unless a separate notice is given to the customer to the effect that he will be deemed to have agreed if no objection is given by the customer within a certain period of time.  Therefore, it would be advisable to include such notice in the Confirmation and also include in the ETA a clause that states that such notice will be separately given to the customer.</w:t>
      </w:r>
    </w:p>
    <w:p>
      <w:pPr>
        <w:pStyle w:val="Normal"/>
        <w:snapToGrid w:val="false"/>
        <w:spacing w:lineRule="atLeast" w:line="280"/>
        <w:ind w:start="720" w:end="0"/>
        <w:rPr>
          <w:color w:val="000000"/>
          <w:sz w:val="24"/>
        </w:rPr>
      </w:pPr>
      <w:r>
        <w:rPr>
          <w:color w:val="000000"/>
          <w:sz w:val="24"/>
        </w:rPr>
      </w:r>
    </w:p>
    <w:p>
      <w:pPr>
        <w:pStyle w:val="Normal"/>
        <w:numPr>
          <w:ilvl w:val="0"/>
          <w:numId w:val="7"/>
        </w:numPr>
        <w:snapToGrid w:val="false"/>
        <w:spacing w:lineRule="atLeast" w:line="280"/>
        <w:rPr>
          <w:color w:val="000000"/>
          <w:sz w:val="24"/>
        </w:rPr>
      </w:pPr>
      <w:r>
        <w:rPr>
          <w:color w:val="000000"/>
          <w:sz w:val="24"/>
        </w:rPr>
        <w:t>Clause 4(a): It appears Enron will assume no liability even for losses incurred due to Enron</w:t>
      </w:r>
      <w:r>
        <w:rPr>
          <w:color w:val="000000"/>
          <w:sz w:val="24"/>
        </w:rPr>
        <w:t>’</w:t>
      </w:r>
      <w:r>
        <w:rPr>
          <w:color w:val="000000"/>
          <w:sz w:val="24"/>
        </w:rPr>
        <w:t>s gross negligence or intentional wrongdoing.  Article 7 of the SCRL invalidates any provision in a standardized contract that exculpates the company</w:t>
      </w:r>
      <w:r>
        <w:rPr>
          <w:color w:val="000000"/>
          <w:sz w:val="24"/>
        </w:rPr>
        <w:t>’</w:t>
      </w:r>
      <w:r>
        <w:rPr>
          <w:color w:val="000000"/>
          <w:sz w:val="24"/>
        </w:rPr>
        <w:t>s liability caused to its customer by its gross negligence or intentional wrongdoing or that limits the liabilities of the company without reasonable cause.  It is not certain whether the last sentence of the paragraph would eliminate the problem.</w:t>
      </w:r>
    </w:p>
    <w:p>
      <w:pPr>
        <w:pStyle w:val="Normal"/>
        <w:snapToGrid w:val="false"/>
        <w:spacing w:lineRule="atLeast" w:line="280"/>
        <w:rPr>
          <w:color w:val="000000"/>
          <w:sz w:val="24"/>
        </w:rPr>
      </w:pPr>
      <w:r>
        <w:rPr>
          <w:color w:val="000000"/>
          <w:sz w:val="24"/>
        </w:rPr>
      </w:r>
    </w:p>
    <w:p>
      <w:pPr>
        <w:pStyle w:val="Normal"/>
        <w:numPr>
          <w:ilvl w:val="0"/>
          <w:numId w:val="7"/>
        </w:numPr>
        <w:snapToGrid w:val="false"/>
        <w:spacing w:lineRule="atLeast" w:line="280"/>
        <w:rPr>
          <w:color w:val="000000"/>
          <w:sz w:val="24"/>
        </w:rPr>
      </w:pPr>
      <w:r>
        <w:rPr>
          <w:color w:val="000000"/>
          <w:sz w:val="24"/>
        </w:rPr>
        <w:t>Clause 6(e): provides that any notice sent via electronic mail will be deemed to have been received immediately upon transmission of the electronic mail message.  We note that the ETBL provides that a message will be deemed received when the message is input into the computer designated by the receiver.  Also, Article 12 of the SCRL invalidates a provision in a standardized contract that deems a material notice to have been received by the customer without reasonable cause.</w:t>
      </w:r>
    </w:p>
    <w:p>
      <w:pPr>
        <w:pStyle w:val="Normal"/>
        <w:snapToGrid w:val="false"/>
        <w:spacing w:lineRule="atLeast" w:line="280"/>
        <w:ind w:start="720" w:end="0"/>
        <w:rPr>
          <w:color w:val="000000"/>
          <w:sz w:val="24"/>
        </w:rPr>
      </w:pPr>
      <w:r>
        <w:rPr>
          <w:color w:val="000000"/>
          <w:sz w:val="24"/>
        </w:rPr>
      </w:r>
    </w:p>
    <w:p>
      <w:pPr>
        <w:pStyle w:val="Normal"/>
        <w:snapToGrid w:val="false"/>
        <w:spacing w:lineRule="atLeast" w:line="280"/>
        <w:ind w:start="720" w:end="0"/>
        <w:rPr>
          <w:color w:val="000000"/>
          <w:sz w:val="24"/>
        </w:rPr>
      </w:pPr>
      <w:r>
        <w:rPr>
          <w:color w:val="000000"/>
          <w:sz w:val="24"/>
        </w:rPr>
        <w:t>Subject to the comments above and to the qualifications and assumptions set forth below, we believe that the ETA an the Password Application would constitute a valid and binding and enforceable obligation of the counterparty in Korea under Korean law.</w:t>
      </w:r>
    </w:p>
    <w:p>
      <w:pPr>
        <w:pStyle w:val="Normal"/>
        <w:snapToGrid w:val="false"/>
        <w:spacing w:lineRule="atLeast" w:line="280"/>
        <w:ind w:start="720" w:end="0"/>
        <w:rPr>
          <w:color w:val="000000"/>
          <w:sz w:val="24"/>
        </w:rPr>
      </w:pPr>
      <w:r>
        <w:rPr>
          <w:color w:val="000000"/>
          <w:sz w:val="24"/>
        </w:rPr>
      </w:r>
    </w:p>
    <w:p>
      <w:pPr>
        <w:pStyle w:val="Normal"/>
        <w:rPr>
          <w:sz w:val="24"/>
        </w:rPr>
      </w:pPr>
      <w:r>
        <w:rPr>
          <w:sz w:val="24"/>
        </w:rPr>
        <w:t>Assumptions:</w:t>
      </w:r>
    </w:p>
    <w:p>
      <w:pPr>
        <w:pStyle w:val="Normal"/>
        <w:rPr>
          <w:sz w:val="24"/>
        </w:rPr>
      </w:pPr>
      <w:r>
        <w:rPr>
          <w:sz w:val="24"/>
        </w:rPr>
      </w:r>
    </w:p>
    <w:p>
      <w:pPr>
        <w:pStyle w:val="Normal"/>
        <w:ind w:hanging="836" w:start="1687" w:end="0"/>
        <w:rPr>
          <w:sz w:val="24"/>
        </w:rPr>
      </w:pPr>
      <w:r>
        <w:rPr>
          <w:sz w:val="24"/>
        </w:rPr>
        <w:t>(a)</w:t>
        <w:tab/>
        <w:t>The parties to the Agreement have full power, authority and legal capacity to enter into the Agreement and to perform their respective obligations thereunder.</w:t>
      </w:r>
    </w:p>
    <w:p>
      <w:pPr>
        <w:pStyle w:val="Normal"/>
        <w:rPr>
          <w:sz w:val="24"/>
        </w:rPr>
      </w:pPr>
      <w:r>
        <w:rPr>
          <w:sz w:val="24"/>
        </w:rPr>
      </w:r>
    </w:p>
    <w:p>
      <w:pPr>
        <w:pStyle w:val="Normal"/>
        <w:rPr>
          <w:sz w:val="24"/>
        </w:rPr>
      </w:pPr>
      <w:r>
        <w:rPr>
          <w:sz w:val="24"/>
        </w:rPr>
        <w:tab/>
        <w:t>(b)</w:t>
        <w:tab/>
        <w:t>The parties have duly executed the Agreement.</w:t>
      </w:r>
    </w:p>
    <w:p>
      <w:pPr>
        <w:pStyle w:val="Normal"/>
        <w:rPr>
          <w:sz w:val="24"/>
        </w:rPr>
      </w:pPr>
      <w:r>
        <w:rPr>
          <w:sz w:val="24"/>
        </w:rPr>
      </w:r>
    </w:p>
    <w:p>
      <w:pPr>
        <w:pStyle w:val="Normal"/>
        <w:ind w:hanging="847" w:start="1702" w:end="0"/>
        <w:rPr>
          <w:sz w:val="24"/>
        </w:rPr>
      </w:pPr>
      <w:r>
        <w:rPr>
          <w:sz w:val="24"/>
        </w:rPr>
        <w:t>(c)</w:t>
        <w:tab/>
        <w:t>The Agreement constitutes legal, valid and binding obligations of the parties thereto under the laws by which it is expressed to be governed.</w:t>
      </w:r>
    </w:p>
    <w:p>
      <w:pPr>
        <w:pStyle w:val="Normal"/>
        <w:rPr>
          <w:sz w:val="24"/>
        </w:rPr>
      </w:pPr>
      <w:r>
        <w:rPr>
          <w:sz w:val="24"/>
        </w:rPr>
      </w:r>
    </w:p>
    <w:p>
      <w:pPr>
        <w:pStyle w:val="Normal"/>
        <w:rPr>
          <w:sz w:val="24"/>
        </w:rPr>
      </w:pPr>
      <w:r>
        <w:rPr>
          <w:sz w:val="24"/>
        </w:rPr>
        <w:tab/>
        <w:t>(d)</w:t>
        <w:tab/>
        <w:t>The Seller has good title to the Securities free of any encumbrances.</w:t>
      </w:r>
    </w:p>
    <w:p>
      <w:pPr>
        <w:pStyle w:val="Normal"/>
        <w:rPr>
          <w:sz w:val="24"/>
        </w:rPr>
      </w:pPr>
      <w:r>
        <w:rPr>
          <w:sz w:val="24"/>
        </w:rPr>
      </w:r>
    </w:p>
    <w:p>
      <w:pPr>
        <w:pStyle w:val="Normal"/>
        <w:ind w:hanging="847" w:start="1702" w:end="0"/>
        <w:rPr>
          <w:sz w:val="24"/>
        </w:rPr>
      </w:pPr>
      <w:r>
        <w:rPr>
          <w:sz w:val="24"/>
        </w:rPr>
        <w:t>(e)</w:t>
        <w:tab/>
        <w:t xml:space="preserve">All necessary government authorizations have been obtained with respect to the Agreement. </w:t>
      </w:r>
    </w:p>
    <w:p>
      <w:pPr>
        <w:pStyle w:val="Normal"/>
        <w:rPr>
          <w:sz w:val="24"/>
        </w:rPr>
      </w:pPr>
      <w:r>
        <w:rPr>
          <w:sz w:val="24"/>
        </w:rPr>
      </w:r>
    </w:p>
    <w:p>
      <w:pPr>
        <w:pStyle w:val="BodyText"/>
        <w:rPr>
          <w:rFonts w:eastAsia="바탕체"/>
        </w:rPr>
      </w:pPr>
      <w:r>
        <w:rPr>
          <w:rFonts w:eastAsia="바탕체"/>
        </w:rPr>
        <w:t>Qualifications:</w:t>
      </w:r>
    </w:p>
    <w:p>
      <w:pPr>
        <w:pStyle w:val="Normal"/>
        <w:rPr>
          <w:rFonts w:eastAsia="바탕체"/>
          <w:sz w:val="24"/>
        </w:rPr>
      </w:pPr>
      <w:r>
        <w:rPr>
          <w:rFonts w:eastAsia="바탕체"/>
          <w:sz w:val="24"/>
        </w:rPr>
      </w:r>
    </w:p>
    <w:p>
      <w:pPr>
        <w:pStyle w:val="Normal"/>
        <w:ind w:hanging="840" w:start="1695" w:end="0"/>
        <w:rPr>
          <w:sz w:val="24"/>
        </w:rPr>
      </w:pPr>
      <w:r>
        <w:rPr>
          <w:sz w:val="24"/>
        </w:rPr>
        <w:t>(a)</w:t>
        <w:tab/>
        <w:t>Enforcement may be limited or affected by the bankruptcy, insolvency, liquidation, reorganization and other laws of general application relating to or affecting the rights of creditors.</w:t>
      </w:r>
    </w:p>
    <w:p>
      <w:pPr>
        <w:pStyle w:val="Normal"/>
        <w:rPr>
          <w:sz w:val="24"/>
        </w:rPr>
      </w:pPr>
      <w:r>
        <w:rPr>
          <w:sz w:val="24"/>
        </w:rPr>
      </w:r>
    </w:p>
    <w:p>
      <w:pPr>
        <w:pStyle w:val="Normal"/>
        <w:numPr>
          <w:ilvl w:val="0"/>
          <w:numId w:val="9"/>
        </w:numPr>
        <w:rPr/>
      </w:pPr>
      <w:r>
        <w:rPr/>
        <w:t>The obligations of the parties may be affected or limited by the general principle of good morals and other social order and the general principle of good faith and fairness provided for in the Civil Code of Korea.</w:t>
      </w:r>
    </w:p>
    <w:p>
      <w:pPr>
        <w:pStyle w:val="Normal"/>
        <w:rPr/>
      </w:pPr>
      <w:r>
        <w:rPr/>
      </w:r>
    </w:p>
    <w:p>
      <w:pPr>
        <w:pStyle w:val="Normal"/>
        <w:numPr>
          <w:ilvl w:val="0"/>
          <w:numId w:val="9"/>
        </w:numPr>
        <w:rPr/>
      </w:pPr>
      <w:r>
        <w:rPr/>
        <w:t>The enforceability of provisions releasing or exculpating a party from  or requiring indemnification of a party for, liability for its own action or inaction may be limited or affected where the action or inaction involves, unlawful conduct, willful misconduct or gross negligence.</w:t>
      </w:r>
    </w:p>
    <w:p>
      <w:pPr>
        <w:pStyle w:val="Normal"/>
        <w:rPr/>
      </w:pPr>
      <w:r>
        <w:rPr/>
      </w:r>
    </w:p>
    <w:p>
      <w:pPr>
        <w:pStyle w:val="Normal"/>
        <w:numPr>
          <w:ilvl w:val="0"/>
          <w:numId w:val="9"/>
        </w:numPr>
        <w:rPr/>
      </w:pPr>
      <w:r>
        <w:rPr/>
        <w:t>The remedies of specific performance or injunction might not necessarily be available in Korea with respect to any particular provision of the Agreement in any particular instance.</w:t>
      </w:r>
    </w:p>
    <w:p>
      <w:pPr>
        <w:pStyle w:val="Normal"/>
        <w:rPr/>
      </w:pPr>
      <w:r>
        <w:rPr/>
      </w:r>
    </w:p>
    <w:p>
      <w:pPr>
        <w:pStyle w:val="Normal"/>
        <w:numPr>
          <w:ilvl w:val="0"/>
          <w:numId w:val="9"/>
        </w:numPr>
        <w:rPr/>
      </w:pPr>
      <w:r>
        <w:rPr/>
        <w:t>Korean courts may exercise judicial discretion in determining such matters as conclusiveness of certificates, extent of damages and entitlement to attorneys</w:t>
      </w:r>
      <w:r>
        <w:rPr/>
        <w:t>’</w:t>
      </w:r>
      <w:r>
        <w:rPr/>
        <w:t xml:space="preserve"> fees and other costs.</w:t>
      </w:r>
    </w:p>
    <w:p>
      <w:pPr>
        <w:pStyle w:val="Normal"/>
        <w:rPr/>
      </w:pPr>
      <w:r>
        <w:rPr/>
      </w:r>
    </w:p>
    <w:p>
      <w:pPr>
        <w:pStyle w:val="Normal"/>
        <w:snapToGrid w:val="false"/>
        <w:spacing w:lineRule="atLeast" w:line="280"/>
        <w:ind w:start="720" w:end="0"/>
        <w:rPr/>
      </w:pPr>
      <w:r>
        <w:rPr/>
        <w:t>(f)</w:t>
        <w:tab/>
        <w:t>Under the Foreign Exchange Transaction Law, if the Korean government deems that certain emergency circumstances, including but not limited to sudden fluctuations in interest rates or exchange rates, extreme difficulty in stabilizing the balance of payments or a substantial disturbance in the Korean financial and capital markets, are likely to occur, it may impose any necessary restrictions such as requiring the parties to obtain prior approval of the Ministry of Finance and Economy</w:t>
      </w:r>
      <w:r>
        <w:rPr>
          <w:color w:val="000000"/>
          <w:sz w:val="24"/>
        </w:rPr>
        <w:t xml:space="preserve">         </w:t>
      </w:r>
    </w:p>
    <w:p>
      <w:pPr>
        <w:pStyle w:val="Normal"/>
        <w:snapToGrid w:val="false"/>
        <w:spacing w:lineRule="atLeast" w:line="280"/>
        <w:rPr>
          <w:color w:val="000000"/>
          <w:sz w:val="24"/>
        </w:rPr>
      </w:pPr>
      <w:r>
        <w:rPr>
          <w:color w:val="000000"/>
          <w:sz w:val="24"/>
        </w:rPr>
      </w:r>
    </w:p>
    <w:p>
      <w:pPr>
        <w:pStyle w:val="BodyText"/>
        <w:snapToGrid w:val="false"/>
        <w:spacing w:lineRule="atLeast" w:line="280"/>
        <w:rPr>
          <w:b/>
        </w:rPr>
      </w:pPr>
      <w:r>
        <w:rPr>
          <w:u w:val="single"/>
        </w:rPr>
        <w:t>Weather Derivatives – Questions</w:t>
      </w:r>
    </w:p>
    <w:p>
      <w:pPr>
        <w:pStyle w:val="BodyText"/>
        <w:snapToGrid w:val="false"/>
        <w:spacing w:lineRule="atLeast" w:line="280"/>
        <w:rPr>
          <w:b/>
        </w:rPr>
      </w:pPr>
      <w:r>
        <w:rPr>
          <w:b/>
        </w:rPr>
      </w:r>
    </w:p>
    <w:p>
      <w:pPr>
        <w:pStyle w:val="BodyText"/>
        <w:numPr>
          <w:ilvl w:val="0"/>
          <w:numId w:val="6"/>
        </w:numPr>
        <w:snapToGrid w:val="false"/>
        <w:spacing w:lineRule="atLeast" w:line="280"/>
        <w:rPr/>
      </w:pPr>
      <w:r>
        <w:rPr/>
        <w:t xml:space="preserve">Is real time Korean weather data legally available by contracting with meteorologist </w:t>
      </w:r>
      <w:r>
        <w:rPr>
          <w:u w:val="single"/>
        </w:rPr>
        <w:t>research firms in Korea to provide such data?</w:t>
      </w:r>
      <w:r>
        <w:rPr>
          <w:u w:val="single"/>
        </w:rPr>
        <w:t xml:space="preserve">                                    </w:t>
      </w:r>
      <w:r>
        <w:rPr/>
        <w:t xml:space="preserve">   </w:t>
      </w:r>
    </w:p>
    <w:p>
      <w:pPr>
        <w:pStyle w:val="BodyText"/>
        <w:snapToGrid w:val="false"/>
        <w:spacing w:lineRule="atLeast" w:line="280"/>
        <w:rPr/>
      </w:pPr>
      <w:r>
        <w:rPr/>
      </w:r>
    </w:p>
    <w:p>
      <w:pPr>
        <w:pStyle w:val="BodyText"/>
        <w:snapToGrid w:val="false"/>
        <w:spacing w:lineRule="atLeast" w:line="280"/>
        <w:ind w:start="720" w:end="0"/>
        <w:rPr/>
      </w:pPr>
      <w:r>
        <w:rPr/>
        <w:t>Under the Weather Business Law, commencing in July 1997, private companies are permitted to engage in weather forecast business.  We understand that as of April 2000  there are 7 private companies that are engaged in such business; some of them offer the information free on their websites.  The following is the information on such companies.</w:t>
      </w:r>
    </w:p>
    <w:p>
      <w:pPr>
        <w:pStyle w:val="BodyText"/>
        <w:snapToGrid w:val="false"/>
        <w:spacing w:lineRule="atLeast" w:line="280"/>
        <w:ind w:start="720" w:end="0"/>
        <w:rPr/>
      </w:pPr>
      <w:r>
        <w:rPr/>
      </w:r>
    </w:p>
    <w:p>
      <w:pPr>
        <w:pStyle w:val="Normal"/>
        <w:snapToGrid w:val="false"/>
        <w:spacing w:lineRule="atLeast" w:line="280"/>
        <w:jc w:val="end"/>
        <w:rPr/>
      </w:pPr>
      <w:r>
        <w:rPr/>
        <w:t>As of April of 2000</w:t>
      </w:r>
    </w:p>
    <w:tbl>
      <w:tblPr>
        <w:tblW w:w="9604" w:type="dxa"/>
        <w:jc w:val="start"/>
        <w:tblInd w:w="0" w:type="dxa"/>
        <w:tblLayout w:type="fixed"/>
        <w:tblCellMar>
          <w:top w:w="0" w:type="dxa"/>
          <w:start w:w="99" w:type="dxa"/>
          <w:bottom w:w="0" w:type="dxa"/>
          <w:end w:w="99" w:type="dxa"/>
        </w:tblCellMar>
      </w:tblPr>
      <w:tblGrid>
        <w:gridCol w:w="2499"/>
        <w:gridCol w:w="1560"/>
        <w:gridCol w:w="3720"/>
        <w:gridCol w:w="1825"/>
      </w:tblGrid>
      <w:tr>
        <w:trPr/>
        <w:tc>
          <w:tcPr>
            <w:tcW w:w="24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Name of company (Representative)</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Date of Registration</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Address</w:t>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Telephone No.</w:t>
            </w:r>
          </w:p>
        </w:tc>
      </w:tr>
      <w:tr>
        <w:trPr/>
        <w:tc>
          <w:tcPr>
            <w:tcW w:w="2499" w:type="dxa"/>
            <w:tcBorders>
              <w:top w:val="single" w:sz="4" w:space="0" w:color="000000"/>
              <w:start w:val="single" w:sz="4" w:space="0" w:color="000000"/>
              <w:bottom w:val="single" w:sz="4" w:space="0" w:color="000000"/>
              <w:end w:val="single" w:sz="4" w:space="0" w:color="000000"/>
            </w:tcBorders>
            <w:vAlign w:val="center"/>
          </w:tcPr>
          <w:p>
            <w:pPr>
              <w:pStyle w:val="BodyText"/>
              <w:rPr>
                <w:sz w:val="20"/>
              </w:rPr>
            </w:pPr>
            <w:r>
              <w:rPr>
                <w:sz w:val="20"/>
              </w:rPr>
              <w:t>Weather News, Inc.</w:t>
            </w:r>
          </w:p>
          <w:p>
            <w:pPr>
              <w:pStyle w:val="Normal"/>
              <w:snapToGrid w:val="false"/>
              <w:spacing w:lineRule="atLeast" w:line="280"/>
              <w:jc w:val="center"/>
              <w:rPr/>
            </w:pPr>
            <w:r>
              <w:rPr/>
              <w:t>Dong Ho Kang</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July 25, 1997</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3</w:t>
            </w:r>
            <w:r>
              <w:rPr>
                <w:vertAlign w:val="superscript"/>
              </w:rPr>
              <w:t>rd</w:t>
            </w:r>
            <w:r>
              <w:rPr/>
              <w:t xml:space="preserve"> Floor Wonseo Building, 171 Wonseo-dong, Chongro-ku, Seoul</w:t>
            </w:r>
          </w:p>
          <w:p>
            <w:pPr>
              <w:pStyle w:val="Normal"/>
              <w:snapToGrid w:val="false"/>
              <w:spacing w:lineRule="atLeast" w:line="280"/>
              <w:jc w:val="start"/>
              <w:rPr/>
            </w:pPr>
            <w:r>
              <w:rPr/>
              <w:t>110-280</w:t>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(02) 739-0739</w:t>
            </w:r>
          </w:p>
          <w:p>
            <w:pPr>
              <w:pStyle w:val="Normal"/>
              <w:snapToGrid w:val="false"/>
              <w:spacing w:lineRule="atLeast" w:line="280"/>
              <w:jc w:val="start"/>
              <w:rPr/>
            </w:pPr>
            <w:r>
              <w:rPr/>
              <w:t>(F)(02) 737-8186</w:t>
            </w:r>
          </w:p>
        </w:tc>
      </w:tr>
      <w:tr>
        <w:trPr/>
        <w:tc>
          <w:tcPr>
            <w:tcW w:w="24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Jinyang Weather One Co., Ltd.</w:t>
            </w:r>
          </w:p>
          <w:p>
            <w:pPr>
              <w:pStyle w:val="Normal"/>
              <w:snapToGrid w:val="false"/>
              <w:spacing w:lineRule="atLeast" w:line="280"/>
              <w:jc w:val="center"/>
              <w:rPr/>
            </w:pPr>
            <w:r>
              <w:rPr/>
              <w:t>Young Ho Han</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July 25, 1997</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#E-401, 151 Yatap-dong, Bundang-ku, Sungnam-si, Kyunggi-do</w:t>
            </w:r>
          </w:p>
          <w:p>
            <w:pPr>
              <w:pStyle w:val="Normal"/>
              <w:snapToGrid w:val="false"/>
              <w:spacing w:lineRule="atLeast" w:line="280"/>
              <w:jc w:val="start"/>
              <w:rPr/>
            </w:pPr>
            <w:r>
              <w:rPr/>
              <w:t>463-070</w:t>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(0342) 707-2341</w:t>
            </w:r>
          </w:p>
          <w:p>
            <w:pPr>
              <w:pStyle w:val="Normal"/>
              <w:snapToGrid w:val="false"/>
              <w:spacing w:lineRule="atLeast" w:line="280"/>
              <w:jc w:val="start"/>
              <w:rPr/>
            </w:pPr>
            <w:r>
              <w:rPr/>
              <w:t>(F) 0342-703-9383</w:t>
            </w:r>
          </w:p>
        </w:tc>
      </w:tr>
      <w:tr>
        <w:trPr/>
        <w:tc>
          <w:tcPr>
            <w:tcW w:w="24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K Weather Co., Ltd.</w:t>
            </w:r>
          </w:p>
          <w:p>
            <w:pPr>
              <w:pStyle w:val="Normal"/>
              <w:snapToGrid w:val="false"/>
              <w:spacing w:lineRule="atLeast" w:line="280"/>
              <w:jc w:val="center"/>
              <w:rPr/>
            </w:pPr>
            <w:r>
              <w:rPr/>
              <w:t>Chang Young Kim</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July 25, 1997</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3</w:t>
            </w:r>
            <w:r>
              <w:rPr>
                <w:vertAlign w:val="superscript"/>
              </w:rPr>
              <w:t>rd</w:t>
            </w:r>
            <w:r>
              <w:rPr/>
              <w:t xml:space="preserve"> Floor Choongjeong Building, 2-2 Choongjeong-ro 2-ka, Seodaemun-ku, Seoul</w:t>
            </w:r>
          </w:p>
          <w:p>
            <w:pPr>
              <w:pStyle w:val="Normal"/>
              <w:snapToGrid w:val="false"/>
              <w:spacing w:lineRule="atLeast" w:line="280"/>
              <w:jc w:val="start"/>
              <w:rPr/>
            </w:pPr>
            <w:r>
              <w:rPr/>
              <w:t>120-012</w:t>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(02) 360-2200</w:t>
            </w:r>
          </w:p>
          <w:p>
            <w:pPr>
              <w:pStyle w:val="Normal"/>
              <w:snapToGrid w:val="false"/>
              <w:spacing w:lineRule="atLeast" w:line="280"/>
              <w:jc w:val="start"/>
              <w:rPr/>
            </w:pPr>
            <w:r>
              <w:rPr/>
              <w:t>(F) (02) 360-2288</w:t>
            </w:r>
          </w:p>
        </w:tc>
      </w:tr>
      <w:tr>
        <w:trPr/>
        <w:tc>
          <w:tcPr>
            <w:tcW w:w="24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Tiros Weather Service Company</w:t>
            </w:r>
          </w:p>
          <w:p>
            <w:pPr>
              <w:pStyle w:val="Normal"/>
              <w:snapToGrid w:val="false"/>
              <w:spacing w:lineRule="atLeast" w:line="280"/>
              <w:jc w:val="center"/>
              <w:rPr/>
            </w:pPr>
            <w:r>
              <w:rPr/>
              <w:t>Hae Won Jung</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July 29, 1997</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#301 Sechang Building, 439-1 Yunnam-dong, Mapo-ku, Seoul</w:t>
            </w:r>
          </w:p>
          <w:p>
            <w:pPr>
              <w:pStyle w:val="Normal"/>
              <w:snapToGrid w:val="false"/>
              <w:spacing w:lineRule="atLeast" w:line="280"/>
              <w:jc w:val="start"/>
              <w:rPr/>
            </w:pPr>
            <w:r>
              <w:rPr/>
              <w:t>121-240</w:t>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(02) 336-1700</w:t>
            </w:r>
          </w:p>
          <w:p>
            <w:pPr>
              <w:pStyle w:val="Normal"/>
              <w:snapToGrid w:val="false"/>
              <w:spacing w:lineRule="atLeast" w:line="280"/>
              <w:jc w:val="start"/>
              <w:rPr/>
            </w:pPr>
            <w:r>
              <w:rPr/>
              <w:t>(F)(02) 336-1702</w:t>
            </w:r>
          </w:p>
        </w:tc>
      </w:tr>
      <w:tr>
        <w:trPr/>
        <w:tc>
          <w:tcPr>
            <w:tcW w:w="24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Korea Weather Forecast</w:t>
            </w:r>
          </w:p>
          <w:p>
            <w:pPr>
              <w:pStyle w:val="Normal"/>
              <w:snapToGrid w:val="false"/>
              <w:spacing w:lineRule="atLeast" w:line="280"/>
              <w:jc w:val="center"/>
              <w:rPr/>
            </w:pPr>
            <w:r>
              <w:rPr/>
              <w:t>Kyung Sool Kim</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September 26, 1997</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33-3 Choongjeong-ro 3-ka, Seodaemun-ku, Seoul</w:t>
            </w:r>
          </w:p>
          <w:p>
            <w:pPr>
              <w:pStyle w:val="Normal"/>
              <w:snapToGrid w:val="false"/>
              <w:spacing w:lineRule="atLeast" w:line="280"/>
              <w:jc w:val="start"/>
              <w:rPr/>
            </w:pPr>
            <w:r>
              <w:rPr/>
              <w:t>120-013</w:t>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(02) 364-9984</w:t>
            </w:r>
          </w:p>
          <w:p>
            <w:pPr>
              <w:pStyle w:val="Normal"/>
              <w:snapToGrid w:val="false"/>
              <w:spacing w:lineRule="atLeast" w:line="280"/>
              <w:jc w:val="start"/>
              <w:rPr/>
            </w:pPr>
            <w:r>
              <w:rPr/>
              <w:t>(F)(02) 364-9985</w:t>
            </w:r>
          </w:p>
        </w:tc>
      </w:tr>
      <w:tr>
        <w:trPr/>
        <w:tc>
          <w:tcPr>
            <w:tcW w:w="24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Saehaneul Weather Information</w:t>
            </w:r>
          </w:p>
          <w:p>
            <w:pPr>
              <w:pStyle w:val="Normal"/>
              <w:snapToGrid w:val="false"/>
              <w:spacing w:lineRule="atLeast" w:line="280"/>
              <w:jc w:val="center"/>
              <w:rPr/>
            </w:pPr>
            <w:r>
              <w:rPr/>
              <w:t>Yoon Kook Kim</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October 6, 1997</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#118, 3 Songwol-dong 3-ka, Chung-ku, Inchon</w:t>
            </w:r>
          </w:p>
          <w:p>
            <w:pPr>
              <w:pStyle w:val="Normal"/>
              <w:snapToGrid w:val="false"/>
              <w:spacing w:lineRule="atLeast" w:line="280"/>
              <w:jc w:val="start"/>
              <w:rPr/>
            </w:pPr>
            <w:r>
              <w:rPr/>
              <w:t>440-190</w:t>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(032) 761-3265</w:t>
            </w:r>
          </w:p>
          <w:p>
            <w:pPr>
              <w:pStyle w:val="Normal"/>
              <w:snapToGrid w:val="false"/>
              <w:spacing w:lineRule="atLeast" w:line="280"/>
              <w:jc w:val="start"/>
              <w:rPr/>
            </w:pPr>
            <w:r>
              <w:rPr/>
              <w:t>(F) 032-761-0366</w:t>
            </w:r>
          </w:p>
        </w:tc>
      </w:tr>
      <w:tr>
        <w:trPr/>
        <w:tc>
          <w:tcPr>
            <w:tcW w:w="24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Chumsungdae Co., Ltd.</w:t>
            </w:r>
          </w:p>
          <w:p>
            <w:pPr>
              <w:pStyle w:val="Normal"/>
              <w:snapToGrid w:val="false"/>
              <w:spacing w:lineRule="atLeast" w:line="280"/>
              <w:jc w:val="center"/>
              <w:rPr/>
            </w:pPr>
            <w:r>
              <w:rPr/>
              <w:t>Wan Ho Lee</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center"/>
              <w:rPr/>
            </w:pPr>
            <w:r>
              <w:rPr/>
              <w:t>September 6, 1999</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Industrial-educational Research Center of Choongnam University, 220 Kung-dong, Yoosung-ku, Daejon</w:t>
            </w:r>
          </w:p>
          <w:p>
            <w:pPr>
              <w:pStyle w:val="Normal"/>
              <w:snapToGrid w:val="false"/>
              <w:spacing w:lineRule="atLeast" w:line="280"/>
              <w:jc w:val="start"/>
              <w:rPr/>
            </w:pPr>
            <w:r>
              <w:rPr/>
              <w:t>305-764</w:t>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80"/>
              <w:jc w:val="start"/>
              <w:rPr/>
            </w:pPr>
            <w:r>
              <w:rPr/>
              <w:t>(042) 821-7355</w:t>
            </w:r>
          </w:p>
          <w:p>
            <w:pPr>
              <w:pStyle w:val="Normal"/>
              <w:snapToGrid w:val="false"/>
              <w:spacing w:lineRule="atLeast" w:line="280"/>
              <w:jc w:val="start"/>
              <w:rPr/>
            </w:pPr>
            <w:r>
              <w:rPr/>
              <w:t>(F) 042-822-0095</w:t>
            </w:r>
          </w:p>
        </w:tc>
      </w:tr>
    </w:tbl>
    <w:p>
      <w:pPr>
        <w:pStyle w:val="BodyText"/>
        <w:snapToGrid w:val="false"/>
        <w:spacing w:lineRule="atLeast" w:line="280"/>
        <w:ind w:start="720" w:end="0"/>
        <w:rPr/>
      </w:pPr>
      <w:r>
        <w:rPr/>
      </w:r>
    </w:p>
    <w:p>
      <w:pPr>
        <w:pStyle w:val="BodyText"/>
        <w:snapToGrid w:val="false"/>
        <w:spacing w:lineRule="atLeast" w:line="280"/>
        <w:rPr/>
      </w:pPr>
      <w:r>
        <w:rPr/>
      </w:r>
    </w:p>
    <w:p>
      <w:pPr>
        <w:pStyle w:val="BodyText"/>
        <w:numPr>
          <w:ilvl w:val="0"/>
          <w:numId w:val="6"/>
        </w:numPr>
        <w:snapToGrid w:val="false"/>
        <w:spacing w:lineRule="atLeast" w:line="280"/>
        <w:rPr/>
      </w:pPr>
      <w:r>
        <w:rPr/>
        <w:t xml:space="preserve">Would any law or regulation on gambling or wagering impact on the legality, validity or enforceability of Weather Derivatives?  In this regard, we note your opinion in your 1999 Memorandum that a derivative transaction would not likely be construed as gambling or wagering in Korea but a legitimate business purpose based on financial </w:t>
      </w:r>
      <w:r>
        <w:rPr>
          <w:u w:val="single"/>
        </w:rPr>
        <w:t>considerations. Please advise if your opinion is different for Weather Derivatives.</w:t>
      </w:r>
      <w:r>
        <w:rPr>
          <w:u w:val="single"/>
        </w:rPr>
        <w:t xml:space="preserve">       </w:t>
      </w:r>
    </w:p>
    <w:p>
      <w:pPr>
        <w:pStyle w:val="BodyText"/>
        <w:snapToGrid w:val="false"/>
        <w:spacing w:lineRule="atLeast" w:line="280"/>
        <w:rPr/>
      </w:pPr>
      <w:r>
        <w:rPr/>
      </w:r>
    </w:p>
    <w:p>
      <w:pPr>
        <w:pStyle w:val="BodyText"/>
        <w:snapToGrid w:val="false"/>
        <w:spacing w:lineRule="atLeast" w:line="280"/>
        <w:ind w:start="720" w:end="0"/>
        <w:rPr/>
      </w:pPr>
      <w:r>
        <w:rPr/>
        <w:t xml:space="preserve">Based on our review of the information on Weather Derivatives that you provided us, although there is no court precedent in point, we believe that Weather Derivatives should not be considered gambling or wagering but a legitimate method of hedging risks relating to weather that may be utilized by companies that are engaged in weathe-sensitive business.  </w:t>
      </w:r>
    </w:p>
    <w:p>
      <w:pPr>
        <w:pStyle w:val="BodyText"/>
        <w:snapToGrid w:val="false"/>
        <w:spacing w:lineRule="atLeast" w:line="280"/>
        <w:rPr/>
      </w:pPr>
      <w:r>
        <w:rPr/>
      </w:r>
    </w:p>
    <w:p>
      <w:pPr>
        <w:pStyle w:val="BodyText"/>
        <w:numPr>
          <w:ilvl w:val="0"/>
          <w:numId w:val="6"/>
        </w:numPr>
        <w:snapToGrid w:val="false"/>
        <w:spacing w:lineRule="atLeast" w:line="280"/>
        <w:rPr/>
      </w:pPr>
      <w:r>
        <w:rPr/>
        <w:t xml:space="preserve">Would Weather Derivatives be considered an insurance contract subject to Korean insurance regulations? In this regard, please note that we have been advised by local counsel for other jurisdictions surveyed (eg. US, Australia) that Weather Derivatives are not treated as insurance contracts in those jurisdictions. This is primarily because the </w:t>
      </w:r>
      <w:r>
        <w:rPr>
          <w:u w:val="single"/>
        </w:rPr>
        <w:t>payout is not linked to a casualty event as would be the case in an insurance contract.</w:t>
      </w:r>
      <w:r>
        <w:rPr>
          <w:u w:val="single"/>
        </w:rPr>
        <w:t xml:space="preserve">     </w:t>
      </w:r>
    </w:p>
    <w:p>
      <w:pPr>
        <w:pStyle w:val="BodyText"/>
        <w:snapToGrid w:val="false"/>
        <w:spacing w:lineRule="atLeast" w:line="280"/>
        <w:rPr/>
      </w:pPr>
      <w:r>
        <w:rPr/>
      </w:r>
    </w:p>
    <w:p>
      <w:pPr>
        <w:pStyle w:val="BodyText"/>
        <w:snapToGrid w:val="false"/>
        <w:spacing w:lineRule="atLeast" w:line="280"/>
        <w:ind w:start="720" w:end="0"/>
        <w:rPr/>
      </w:pPr>
      <w:r>
        <w:rPr/>
        <w:t xml:space="preserve">Under </w:t>
      </w:r>
      <w:r>
        <w:rPr/>
        <w:t>the</w:t>
      </w:r>
      <w:r>
        <w:rPr/>
        <w:t xml:space="preserve"> Commercial Code of Korea, an insurance contract is defined as a contract whereunder a party pays premium and the other party agrees to pay a certain sum upon occurrence of a casualty event.  We believe that Weather Derivatives would not fall under such a definition. </w:t>
      </w:r>
    </w:p>
    <w:p>
      <w:pPr>
        <w:pStyle w:val="BodyText"/>
        <w:snapToGrid w:val="false"/>
        <w:spacing w:lineRule="atLeast" w:line="280"/>
        <w:rPr/>
      </w:pPr>
      <w:r>
        <w:rPr/>
      </w:r>
    </w:p>
    <w:p>
      <w:pPr>
        <w:pStyle w:val="BodyText"/>
        <w:numPr>
          <w:ilvl w:val="0"/>
          <w:numId w:val="6"/>
        </w:numPr>
        <w:snapToGrid w:val="false"/>
        <w:spacing w:lineRule="atLeast" w:line="280"/>
        <w:rPr/>
      </w:pPr>
      <w:r>
        <w:rPr/>
        <w:t xml:space="preserve">Would Weather Derivatives be subject to any transactional tax under Korean tax law and </w:t>
      </w:r>
      <w:r>
        <w:rPr>
          <w:u w:val="single"/>
        </w:rPr>
        <w:t>regulations?</w:t>
      </w:r>
      <w:r>
        <w:rPr>
          <w:u w:val="single"/>
        </w:rPr>
        <w:t xml:space="preserve">                                                              </w:t>
      </w:r>
    </w:p>
    <w:p>
      <w:pPr>
        <w:pStyle w:val="BodyText"/>
        <w:snapToGrid w:val="false"/>
        <w:spacing w:lineRule="atLeast" w:line="280"/>
        <w:rPr>
          <w:color w:val="000000"/>
        </w:rPr>
      </w:pPr>
      <w:r>
        <w:rPr>
          <w:color w:val="000000"/>
        </w:rPr>
      </w:r>
    </w:p>
    <w:p>
      <w:pPr>
        <w:pStyle w:val="BodyText"/>
        <w:snapToGrid w:val="false"/>
        <w:spacing w:lineRule="atLeast" w:line="280"/>
        <w:ind w:start="720" w:end="0"/>
        <w:rPr/>
      </w:pPr>
      <w:r>
        <w:rPr>
          <w:color w:val="000000"/>
        </w:rPr>
        <w:t xml:space="preserve">There </w:t>
      </w:r>
      <w:r>
        <w:rPr>
          <w:color w:val="000000"/>
        </w:rPr>
        <w:t>have been no clear tax rules</w:t>
      </w:r>
      <w:r>
        <w:rPr>
          <w:color w:val="000000"/>
        </w:rPr>
        <w:t xml:space="preserve"> on this point.  But, in light of the fact that certain financial institutions in Korea are subject to 0.5% education tax on its operating revenue (including </w:t>
      </w:r>
      <w:r>
        <w:rPr>
          <w:color w:val="000000"/>
        </w:rPr>
        <w:t>that</w:t>
      </w:r>
      <w:r>
        <w:rPr>
          <w:color w:val="000000"/>
        </w:rPr>
        <w:t xml:space="preserve"> from financial derivatives), the revenue from the weather derivatives may be subject to such 0.5% education tax if received by such financial institutions.  Further, though not likely, if the payment is characterized as </w:t>
      </w:r>
      <w:r>
        <w:rPr>
          <w:color w:val="000000"/>
        </w:rPr>
        <w:t>“</w:t>
      </w:r>
      <w:r>
        <w:rPr>
          <w:color w:val="000000"/>
        </w:rPr>
        <w:t>compensation for the services provided by Enron entities overseas</w:t>
      </w:r>
      <w:r>
        <w:rPr>
          <w:color w:val="000000"/>
        </w:rPr>
        <w:t>”</w:t>
      </w:r>
      <w:r>
        <w:rPr>
          <w:color w:val="000000"/>
        </w:rPr>
        <w:t xml:space="preserve"> and the </w:t>
      </w:r>
      <w:r>
        <w:rPr>
          <w:color w:val="000000"/>
        </w:rPr>
        <w:t>payer</w:t>
      </w:r>
      <w:r>
        <w:rPr>
          <w:color w:val="000000"/>
        </w:rPr>
        <w:t xml:space="preserve"> (an entity in Korea) is using such services for a VAT-exempt business, such Korean entity will need to collect and pay 10% VAT to tax office in addition to the derivatives payments.</w:t>
      </w:r>
    </w:p>
    <w:p>
      <w:pPr>
        <w:pStyle w:val="BodyText"/>
        <w:snapToGrid w:val="false"/>
        <w:spacing w:lineRule="atLeast" w:line="280"/>
        <w:rPr/>
      </w:pPr>
      <w:r>
        <w:rPr/>
      </w:r>
    </w:p>
    <w:p>
      <w:pPr>
        <w:pStyle w:val="BodyText"/>
        <w:numPr>
          <w:ilvl w:val="0"/>
          <w:numId w:val="6"/>
        </w:numPr>
        <w:snapToGrid w:val="false"/>
        <w:spacing w:lineRule="atLeast" w:line="280"/>
        <w:rPr/>
      </w:pPr>
      <w:r>
        <w:rPr/>
        <w:t xml:space="preserve">Attached as Annex D is the GTC of Enron Australia Finance Pty Ltd for Weather Derivatives. If your answers to 2 and 3 above do not have a negative reflection of the legality of Weather Derivatives in Korea, please let us have your opinion, as a matter of Korean law, on the GTC’s legality, validity and enforceability in accordance with its </w:t>
      </w:r>
      <w:r>
        <w:rPr>
          <w:u w:val="single"/>
        </w:rPr>
        <w:t>terms.</w:t>
      </w:r>
      <w:r>
        <w:rPr>
          <w:u w:val="single"/>
        </w:rPr>
        <w:t xml:space="preserve">                                                                   </w:t>
      </w:r>
    </w:p>
    <w:p>
      <w:pPr>
        <w:pStyle w:val="BodyText"/>
        <w:snapToGrid w:val="false"/>
        <w:spacing w:lineRule="atLeast" w:line="280"/>
        <w:rPr/>
      </w:pPr>
      <w:r>
        <w:rPr/>
      </w:r>
    </w:p>
    <w:p>
      <w:pPr>
        <w:pStyle w:val="BodyText"/>
        <w:snapToGrid w:val="false"/>
        <w:spacing w:lineRule="atLeast" w:line="280"/>
        <w:ind w:start="720" w:end="0"/>
        <w:rPr/>
      </w:pPr>
      <w:r>
        <w:rPr/>
        <w:t>We have the following comments on the Weather Derivatives GT</w:t>
      </w:r>
      <w:r>
        <w:rPr>
          <w:u w:val="single"/>
        </w:rPr>
        <w:t>C</w:t>
      </w:r>
    </w:p>
    <w:p>
      <w:pPr>
        <w:pStyle w:val="BodyText"/>
        <w:snapToGrid w:val="false"/>
        <w:spacing w:lineRule="atLeast" w:line="280"/>
        <w:rPr>
          <w:u w:val="single"/>
        </w:rPr>
      </w:pPr>
      <w:r>
        <w:rPr>
          <w:u w:val="single"/>
        </w:rPr>
      </w:r>
    </w:p>
    <w:p>
      <w:pPr>
        <w:pStyle w:val="BodyText"/>
        <w:snapToGrid w:val="false"/>
        <w:spacing w:lineRule="atLeast" w:line="280"/>
        <w:rPr/>
      </w:pPr>
      <w:r>
        <w:rPr/>
        <w:tab/>
      </w:r>
      <w:r>
        <w:rPr>
          <w:u w:val="single"/>
        </w:rPr>
        <w:t>Permissibility</w:t>
      </w:r>
      <w:r>
        <w:rPr/>
        <w:t>: Under the Foreign Exchange Transaction Law, Presidential Decree and regulations thereunder (</w:t>
      </w:r>
      <w:r>
        <w:rPr/>
        <w:t>“</w:t>
      </w:r>
      <w:r>
        <w:rPr/>
        <w:t>FETR</w:t>
      </w:r>
      <w:r>
        <w:rPr/>
        <w:t>”</w:t>
      </w:r>
      <w:r>
        <w:rPr/>
        <w:t xml:space="preserve">), a Korean resident is permitted to enter into an OTC commodity derivative transaction directly with a non-resident with a prior report to the Bank of Korea.  The </w:t>
      </w:r>
      <w:r>
        <w:rPr/>
        <w:t>“</w:t>
      </w:r>
      <w:r>
        <w:rPr/>
        <w:t>Derivative Transaction</w:t>
      </w:r>
      <w:r>
        <w:rPr/>
        <w:t>”</w:t>
      </w:r>
      <w:r>
        <w:rPr/>
        <w:t xml:space="preserve"> is defined in the Presidential Decree as follows:  </w:t>
        <w:tab/>
      </w:r>
    </w:p>
    <w:p>
      <w:pPr>
        <w:pStyle w:val="Normal"/>
        <w:rPr/>
      </w:pPr>
      <w:r>
        <w:rPr/>
      </w:r>
    </w:p>
    <w:p>
      <w:pPr>
        <w:pStyle w:val="Normal"/>
        <w:numPr>
          <w:ilvl w:val="0"/>
          <w:numId w:val="10"/>
        </w:numPr>
        <w:rPr>
          <w:sz w:val="24"/>
        </w:rPr>
      </w:pPr>
      <w:r>
        <w:rPr>
          <w:sz w:val="24"/>
        </w:rPr>
        <w:t xml:space="preserve">A transaction where the parties agree to deliver or receive means of payment, securities, receivables or other products (collectively, the </w:t>
      </w:r>
      <w:r>
        <w:rPr>
          <w:sz w:val="24"/>
        </w:rPr>
        <w:t>“</w:t>
      </w:r>
      <w:r>
        <w:rPr>
          <w:sz w:val="24"/>
        </w:rPr>
        <w:t>Products</w:t>
      </w:r>
      <w:r>
        <w:rPr>
          <w:sz w:val="24"/>
        </w:rPr>
        <w:t>”</w:t>
      </w:r>
      <w:r>
        <w:rPr>
          <w:sz w:val="24"/>
        </w:rPr>
        <w:t>) at a specified time in the future at a price that are pre-agreed between the parties and the settlement is to be made by netting when the contract is closed out by a reverse trade;</w:t>
      </w:r>
    </w:p>
    <w:p>
      <w:pPr>
        <w:pStyle w:val="Normal"/>
        <w:numPr>
          <w:ilvl w:val="0"/>
          <w:numId w:val="10"/>
        </w:numPr>
        <w:rPr>
          <w:sz w:val="24"/>
        </w:rPr>
      </w:pPr>
      <w:r>
        <w:rPr>
          <w:sz w:val="24"/>
        </w:rPr>
        <w:t xml:space="preserve">A transaction where the parties agree to pay or receive an amount calculated on the basis of the difference between the price of the Products, interest rate or an index derived therefrom (collectively, the </w:t>
      </w:r>
      <w:r>
        <w:rPr>
          <w:sz w:val="24"/>
        </w:rPr>
        <w:t>“</w:t>
      </w:r>
      <w:r>
        <w:rPr>
          <w:sz w:val="24"/>
        </w:rPr>
        <w:t>Index</w:t>
      </w:r>
      <w:r>
        <w:rPr>
          <w:sz w:val="24"/>
        </w:rPr>
        <w:t>”</w:t>
      </w:r>
      <w:r>
        <w:rPr>
          <w:sz w:val="24"/>
        </w:rPr>
        <w:t>) that is pre-agreed between the parties and the value of the Index at a specified time in the future.</w:t>
      </w:r>
    </w:p>
    <w:p>
      <w:pPr>
        <w:pStyle w:val="Normal"/>
        <w:rPr>
          <w:sz w:val="24"/>
        </w:rPr>
      </w:pPr>
      <w:r>
        <w:rPr>
          <w:sz w:val="24"/>
        </w:rPr>
      </w:r>
    </w:p>
    <w:p>
      <w:pPr>
        <w:pStyle w:val="Normal"/>
        <w:numPr>
          <w:ilvl w:val="0"/>
          <w:numId w:val="10"/>
        </w:numPr>
        <w:rPr>
          <w:sz w:val="24"/>
        </w:rPr>
      </w:pPr>
      <w:r>
        <w:rPr>
          <w:sz w:val="24"/>
        </w:rPr>
        <w:t>A transaction where the parties agree to exchange, for a period of time agreed between the parties, the Products at a price that is pre-agreed between the parties or an amount calculated on the basis of the Index.</w:t>
      </w:r>
    </w:p>
    <w:p>
      <w:pPr>
        <w:pStyle w:val="Normal"/>
        <w:rPr>
          <w:sz w:val="24"/>
        </w:rPr>
      </w:pPr>
      <w:r>
        <w:rPr>
          <w:sz w:val="24"/>
        </w:rPr>
      </w:r>
    </w:p>
    <w:p>
      <w:pPr>
        <w:pStyle w:val="Normal"/>
        <w:numPr>
          <w:ilvl w:val="0"/>
          <w:numId w:val="10"/>
        </w:numPr>
        <w:rPr>
          <w:sz w:val="24"/>
        </w:rPr>
      </w:pPr>
      <w:r>
        <w:rPr>
          <w:sz w:val="24"/>
        </w:rPr>
        <w:t>A transaction where a party obtains from the other party a right to effectuate any of the following transactions by paying a premium therefor:</w:t>
      </w:r>
    </w:p>
    <w:p>
      <w:pPr>
        <w:pStyle w:val="Normal"/>
        <w:rPr>
          <w:sz w:val="24"/>
        </w:rPr>
      </w:pPr>
      <w:r>
        <w:rPr>
          <w:sz w:val="24"/>
        </w:rPr>
      </w:r>
    </w:p>
    <w:p>
      <w:pPr>
        <w:pStyle w:val="Normal"/>
        <w:numPr>
          <w:ilvl w:val="0"/>
          <w:numId w:val="5"/>
        </w:numPr>
        <w:rPr>
          <w:sz w:val="24"/>
        </w:rPr>
      </w:pPr>
      <w:r>
        <w:rPr>
          <w:sz w:val="24"/>
        </w:rPr>
        <w:t>Any of the transactions under items (a) through (c) above;</w:t>
      </w:r>
    </w:p>
    <w:p>
      <w:pPr>
        <w:pStyle w:val="Normal"/>
        <w:rPr>
          <w:sz w:val="24"/>
        </w:rPr>
      </w:pPr>
      <w:r>
        <w:rPr>
          <w:sz w:val="24"/>
        </w:rPr>
      </w:r>
    </w:p>
    <w:p>
      <w:pPr>
        <w:pStyle w:val="Normal"/>
        <w:numPr>
          <w:ilvl w:val="0"/>
          <w:numId w:val="5"/>
        </w:numPr>
        <w:rPr>
          <w:sz w:val="24"/>
        </w:rPr>
      </w:pPr>
      <w:r>
        <w:rPr>
          <w:sz w:val="24"/>
        </w:rPr>
        <w:t>Sale/purchase of the Products; or</w:t>
      </w:r>
    </w:p>
    <w:p>
      <w:pPr>
        <w:pStyle w:val="Normal"/>
        <w:rPr>
          <w:sz w:val="24"/>
        </w:rPr>
      </w:pPr>
      <w:r>
        <w:rPr>
          <w:sz w:val="24"/>
        </w:rPr>
      </w:r>
    </w:p>
    <w:p>
      <w:pPr>
        <w:pStyle w:val="Normal"/>
        <w:numPr>
          <w:ilvl w:val="0"/>
          <w:numId w:val="5"/>
        </w:numPr>
        <w:rPr>
          <w:sz w:val="24"/>
        </w:rPr>
      </w:pPr>
      <w:r>
        <w:rPr>
          <w:sz w:val="24"/>
        </w:rPr>
        <w:t>A transaction where parties receive or pay an amount calculated on the basis of the differential between the value of the Index and the pre-agreed value of the Index.</w:t>
      </w:r>
    </w:p>
    <w:p>
      <w:pPr>
        <w:pStyle w:val="Normal"/>
        <w:rPr>
          <w:sz w:val="24"/>
        </w:rPr>
      </w:pPr>
      <w:r>
        <w:rPr>
          <w:sz w:val="24"/>
        </w:rPr>
      </w:r>
    </w:p>
    <w:p>
      <w:pPr>
        <w:pStyle w:val="Normal"/>
        <w:numPr>
          <w:ilvl w:val="0"/>
          <w:numId w:val="10"/>
        </w:numPr>
        <w:rPr/>
      </w:pPr>
      <w:r>
        <w:rPr>
          <w:sz w:val="24"/>
        </w:rPr>
        <w:t>A transaction that is similar to those under (a) through (d) above and is linked to the credit risk of the parties or a third party.</w:t>
      </w:r>
    </w:p>
    <w:p>
      <w:pPr>
        <w:pStyle w:val="Normal"/>
        <w:rPr/>
      </w:pPr>
      <w:r>
        <w:rPr/>
      </w:r>
    </w:p>
    <w:p>
      <w:pPr>
        <w:pStyle w:val="BodyText"/>
        <w:snapToGrid w:val="false"/>
        <w:spacing w:lineRule="atLeast" w:line="280"/>
        <w:rPr/>
      </w:pPr>
      <w:r>
        <w:rPr/>
        <w:t>It is not clear whether a Weather Derivative would fall under the above definition.  The Index is defined as an index derived from a price of a Product or interest rate; Product is defined as something that can be delivered or received for a price.  We are not certain whether HDD or temperature would qualify as Index or Product under such definitions.  Upon your request, we would be pleased to discuss the matter with the relevant regulators in Korea.</w:t>
      </w:r>
    </w:p>
    <w:p>
      <w:pPr>
        <w:pStyle w:val="BodyText"/>
        <w:snapToGrid w:val="false"/>
        <w:spacing w:lineRule="atLeast" w:line="280"/>
        <w:rPr>
          <w:u w:val="single"/>
        </w:rPr>
      </w:pPr>
      <w:r>
        <w:rPr>
          <w:u w:val="single"/>
        </w:rPr>
      </w:r>
    </w:p>
    <w:p>
      <w:pPr>
        <w:pStyle w:val="BodyText"/>
        <w:snapToGrid w:val="false"/>
        <w:spacing w:lineRule="atLeast" w:line="280"/>
        <w:rPr/>
      </w:pPr>
      <w:r>
        <w:rPr/>
        <w:tab/>
      </w:r>
      <w:r>
        <w:rPr>
          <w:u w:val="single"/>
        </w:rPr>
        <w:t>Tax Representation</w:t>
      </w:r>
      <w:r>
        <w:rPr/>
        <w:t>:</w:t>
      </w:r>
    </w:p>
    <w:p>
      <w:pPr>
        <w:pStyle w:val="BodyText"/>
        <w:snapToGrid w:val="false"/>
        <w:spacing w:lineRule="atLeast" w:line="280"/>
        <w:rPr/>
      </w:pPr>
      <w:r>
        <w:rPr/>
      </w:r>
    </w:p>
    <w:p>
      <w:pPr>
        <w:pStyle w:val="BodyText"/>
        <w:snapToGrid w:val="false"/>
        <w:spacing w:lineRule="atLeast" w:line="280"/>
        <w:jc w:val="start"/>
        <w:rPr/>
      </w:pPr>
      <w:r>
        <w:rPr/>
        <w:t xml:space="preserve">9.(b) for counterparty </w:t>
      </w:r>
    </w:p>
    <w:p>
      <w:pPr>
        <w:pStyle w:val="BodyText"/>
        <w:snapToGrid w:val="false"/>
        <w:spacing w:lineRule="atLeast" w:line="280"/>
        <w:jc w:val="start"/>
        <w:rPr/>
      </w:pPr>
      <w:r>
        <w:rPr/>
      </w:r>
    </w:p>
    <w:p>
      <w:pPr>
        <w:pStyle w:val="BodyText"/>
        <w:snapToGrid w:val="false"/>
        <w:spacing w:lineRule="atLeast" w:line="280"/>
        <w:jc w:val="start"/>
        <w:rPr/>
      </w:pPr>
      <w:r>
        <w:rPr/>
        <w:t xml:space="preserve">If the Enron entity is </w:t>
      </w:r>
      <w:r>
        <w:rPr/>
        <w:t>an</w:t>
      </w:r>
      <w:r>
        <w:rPr/>
        <w:t xml:space="preserve"> Australian (not a US) resident, (i) seems to be irrelevant and thus may be deleted.  Further, the definition of Enron US Treaty may not be </w:t>
      </w:r>
      <w:r>
        <w:rPr/>
        <w:t>necessary</w:t>
      </w:r>
      <w:r>
        <w:rPr/>
        <w:t xml:space="preserve">. </w:t>
      </w:r>
    </w:p>
    <w:p>
      <w:pPr>
        <w:pStyle w:val="BodyText"/>
        <w:snapToGrid w:val="false"/>
        <w:spacing w:lineRule="atLeast" w:line="280"/>
        <w:jc w:val="start"/>
        <w:rPr/>
      </w:pPr>
      <w:r>
        <w:rPr/>
      </w:r>
    </w:p>
    <w:p>
      <w:pPr>
        <w:pStyle w:val="BodyText"/>
        <w:snapToGrid w:val="false"/>
        <w:spacing w:lineRule="atLeast" w:line="280"/>
        <w:jc w:val="start"/>
        <w:rPr/>
      </w:pPr>
      <w:r>
        <w:rPr/>
        <w:t xml:space="preserve">9.(b) for Enron </w:t>
      </w:r>
    </w:p>
    <w:p>
      <w:pPr>
        <w:pStyle w:val="BodyText"/>
        <w:snapToGrid w:val="false"/>
        <w:spacing w:lineRule="atLeast" w:line="280"/>
        <w:jc w:val="start"/>
        <w:rPr/>
      </w:pPr>
      <w:r>
        <w:rPr/>
      </w:r>
    </w:p>
    <w:p>
      <w:pPr>
        <w:pStyle w:val="BodyText"/>
        <w:snapToGrid w:val="false"/>
        <w:spacing w:lineRule="atLeast" w:line="280"/>
        <w:jc w:val="start"/>
        <w:rPr/>
      </w:pPr>
      <w:r>
        <w:rPr/>
        <w:t xml:space="preserve">If the Enron entity is </w:t>
      </w:r>
      <w:r>
        <w:rPr/>
        <w:t>an</w:t>
      </w:r>
      <w:r>
        <w:rPr/>
        <w:t xml:space="preserve"> Australian (not a US) resident, Counterparty Residency Treaty for (i) needs to be changed into a tax treaty between Australia and the Residency Jurisdiction.  Further, for (ii), Counterparty Branch Treaty needs to be changed into a tax treaty between Australia and the Branch Jurisdiction. </w:t>
      </w:r>
    </w:p>
    <w:p>
      <w:pPr>
        <w:pStyle w:val="BodyText"/>
        <w:snapToGrid w:val="false"/>
        <w:spacing w:lineRule="atLeast" w:line="280"/>
        <w:rPr/>
      </w:pPr>
      <w:r>
        <w:rPr/>
      </w:r>
    </w:p>
    <w:p>
      <w:pPr>
        <w:pStyle w:val="BodyText"/>
        <w:snapToGrid w:val="false"/>
        <w:spacing w:lineRule="atLeast" w:line="280"/>
        <w:rPr/>
      </w:pPr>
      <w:r>
        <w:rPr/>
        <w:tab/>
      </w:r>
      <w:r>
        <w:rPr>
          <w:u w:val="single"/>
        </w:rPr>
        <w:t xml:space="preserve">Set-off: </w:t>
      </w:r>
      <w:r>
        <w:rPr/>
        <w:t xml:space="preserve"> Under the FETR, a non-bank party to a set-off agreement is required to file a report to the Bank of Korea if the agreement includes a set off of claims and cross-claims other than those that arise under the same permitted derivative transactions.   </w:t>
        <w:tab/>
      </w:r>
    </w:p>
    <w:p>
      <w:pPr>
        <w:pStyle w:val="BodyText"/>
        <w:snapToGrid w:val="false"/>
        <w:spacing w:lineRule="atLeast" w:line="280"/>
        <w:rPr/>
      </w:pPr>
      <w:r>
        <w:rPr/>
      </w:r>
    </w:p>
    <w:p>
      <w:pPr>
        <w:pStyle w:val="BodyText"/>
        <w:snapToGrid w:val="false"/>
        <w:spacing w:lineRule="atLeast" w:line="280"/>
        <w:ind w:start="720" w:end="0"/>
        <w:rPr/>
      </w:pPr>
      <w:r>
        <w:rPr>
          <w:u w:val="single"/>
        </w:rPr>
        <w:t>Valid Obligation</w:t>
      </w:r>
      <w:r>
        <w:rPr/>
        <w:t>: Subject to the foregoing comments and the assumptions and qualifications set forth above with respect to the ETA, we believe that the Weather Derivatives GTC would constitute a valid, binding and enforceable obligation of the counterparty in Korea under Korean law.</w:t>
      </w:r>
    </w:p>
    <w:p>
      <w:pPr>
        <w:pStyle w:val="BodyText"/>
        <w:snapToGrid w:val="false"/>
        <w:spacing w:lineRule="atLeast" w:line="280"/>
        <w:ind w:start="720" w:end="0"/>
        <w:rPr>
          <w:u w:val="single"/>
        </w:rPr>
      </w:pPr>
      <w:r>
        <w:rPr>
          <w:rFonts w:eastAsia="Times New Roman"/>
        </w:rPr>
        <w:t xml:space="preserve"> </w:t>
      </w:r>
    </w:p>
    <w:p>
      <w:pPr>
        <w:pStyle w:val="BodyText"/>
        <w:snapToGrid w:val="false"/>
        <w:spacing w:lineRule="atLeast" w:line="280"/>
        <w:rPr>
          <w:u w:val="single"/>
        </w:rPr>
      </w:pPr>
      <w:r>
        <w:rPr>
          <w:u w:val="single"/>
        </w:rPr>
        <w:t>Commodity Derivatives</w:t>
      </w:r>
    </w:p>
    <w:p>
      <w:pPr>
        <w:pStyle w:val="BodyText"/>
        <w:snapToGrid w:val="false"/>
        <w:spacing w:lineRule="atLeast" w:line="280"/>
        <w:rPr>
          <w:u w:val="single"/>
        </w:rPr>
      </w:pPr>
      <w:r>
        <w:rPr>
          <w:u w:val="single"/>
        </w:rPr>
      </w:r>
    </w:p>
    <w:p>
      <w:pPr>
        <w:pStyle w:val="BodyText"/>
        <w:snapToGrid w:val="false"/>
        <w:spacing w:lineRule="atLeast" w:line="280"/>
        <w:rPr/>
      </w:pPr>
      <w:r>
        <w:rPr/>
        <w:t xml:space="preserve">It is contemplated Commodity Derivatives such as swaps and options of liquid fuels will be offered on EnronOnline by Enron’s Singapore affiliate.  </w:t>
      </w:r>
    </w:p>
    <w:p>
      <w:pPr>
        <w:pStyle w:val="BodyText"/>
        <w:snapToGrid w:val="false"/>
        <w:spacing w:lineRule="atLeast" w:line="280"/>
        <w:rPr/>
      </w:pPr>
      <w:r>
        <w:rPr/>
      </w:r>
    </w:p>
    <w:p>
      <w:pPr>
        <w:pStyle w:val="BodyText"/>
        <w:snapToGrid w:val="false"/>
        <w:spacing w:lineRule="atLeast" w:line="280"/>
        <w:rPr/>
      </w:pPr>
      <w:r>
        <w:rPr/>
        <w:t xml:space="preserve">Attached as Annex E is a copy of the GTC of Enron Capital &amp; Trade Resources International Corp (Singapore Branch) that would govern the Commodity Derivative trades. Please let us have your opinion, as a matter of Korean law, on its legality, validity and enforceability in accordance </w:t>
      </w:r>
      <w:r>
        <w:rPr>
          <w:u w:val="single"/>
        </w:rPr>
        <w:t>with its terms.</w:t>
      </w:r>
      <w:r>
        <w:rPr>
          <w:u w:val="single"/>
        </w:rPr>
        <w:t xml:space="preserve">                                                                   </w:t>
      </w:r>
    </w:p>
    <w:p>
      <w:pPr>
        <w:pStyle w:val="BodyText"/>
        <w:snapToGrid w:val="false"/>
        <w:spacing w:lineRule="atLeast" w:line="280"/>
        <w:rPr/>
      </w:pPr>
      <w:r>
        <w:rPr/>
      </w:r>
    </w:p>
    <w:p>
      <w:pPr>
        <w:pStyle w:val="BodyText"/>
        <w:snapToGrid w:val="false"/>
        <w:spacing w:lineRule="atLeast" w:line="280"/>
        <w:rPr/>
      </w:pPr>
      <w:r>
        <w:rPr/>
        <w:t>We have the following comments on the Commodity Derivative GTC.</w:t>
      </w:r>
    </w:p>
    <w:p>
      <w:pPr>
        <w:pStyle w:val="BodyText"/>
        <w:snapToGrid w:val="false"/>
        <w:spacing w:lineRule="atLeast" w:line="280"/>
        <w:rPr/>
      </w:pPr>
      <w:r>
        <w:rPr/>
      </w:r>
    </w:p>
    <w:p>
      <w:pPr>
        <w:pStyle w:val="BodyText"/>
        <w:snapToGrid w:val="false"/>
        <w:spacing w:lineRule="atLeast" w:line="280"/>
        <w:rPr/>
      </w:pPr>
      <w:r>
        <w:rPr/>
        <w:tab/>
      </w:r>
      <w:r>
        <w:rPr>
          <w:u w:val="single"/>
        </w:rPr>
        <w:t>Set-off (clause 7)</w:t>
      </w:r>
      <w:r>
        <w:rPr/>
        <w:t>:  See the discussion above under the Weather Derivatives.</w:t>
      </w:r>
    </w:p>
    <w:p>
      <w:pPr>
        <w:pStyle w:val="BodyText"/>
        <w:snapToGrid w:val="false"/>
        <w:spacing w:lineRule="atLeast" w:line="280"/>
        <w:rPr/>
      </w:pPr>
      <w:r>
        <w:rPr/>
      </w:r>
    </w:p>
    <w:p>
      <w:pPr>
        <w:pStyle w:val="BodyText"/>
        <w:snapToGrid w:val="false"/>
        <w:spacing w:lineRule="atLeast" w:line="280"/>
        <w:rPr/>
      </w:pPr>
      <w:r>
        <w:rPr/>
        <w:tab/>
      </w:r>
      <w:r>
        <w:rPr>
          <w:u w:val="single"/>
        </w:rPr>
        <w:t>Guarantee or Letter of Credit (Clause 4)</w:t>
      </w:r>
      <w:r>
        <w:rPr/>
        <w:t>: No foreign exchang authorization would be required for the counterparty in Korea to procure a bank in Korea (including a foreign bank branch) to issue a letter of credit in favor of Enron to secure the counterparty</w:t>
      </w:r>
      <w:r>
        <w:rPr/>
        <w:t>’</w:t>
      </w:r>
      <w:r>
        <w:rPr/>
        <w:t>s obligaiton under an OTC commodity derivative transaction.  However, a report to the Bank of Korea would be required if another non-bank resident in Korea is the guarantor.</w:t>
      </w:r>
    </w:p>
    <w:p>
      <w:pPr>
        <w:pStyle w:val="BodyText"/>
        <w:snapToGrid w:val="false"/>
        <w:spacing w:lineRule="atLeast" w:line="280"/>
        <w:rPr/>
      </w:pPr>
      <w:r>
        <w:rPr/>
      </w:r>
    </w:p>
    <w:p>
      <w:pPr>
        <w:pStyle w:val="BodyText"/>
        <w:snapToGrid w:val="false"/>
        <w:spacing w:lineRule="atLeast" w:line="280"/>
        <w:rPr/>
      </w:pPr>
      <w:r>
        <w:rPr/>
        <w:tab/>
      </w:r>
      <w:r>
        <w:rPr>
          <w:u w:val="single"/>
        </w:rPr>
        <w:t>Events of Default</w:t>
      </w:r>
      <w:r>
        <w:rPr/>
        <w:t xml:space="preserve"> (Clause 5): The event of default under (g) </w:t>
      </w:r>
      <w:r>
        <w:rPr/>
        <w:t>–</w:t>
      </w:r>
      <w:r>
        <w:rPr/>
        <w:t xml:space="preserve"> </w:t>
      </w:r>
      <w:r>
        <w:rPr/>
        <w:t>“</w:t>
      </w:r>
      <w:r>
        <w:rPr/>
        <w:t>a change of ownership</w:t>
      </w:r>
      <w:r>
        <w:rPr/>
        <w:t>”</w:t>
      </w:r>
      <w:r>
        <w:rPr/>
        <w:t xml:space="preserve"> </w:t>
      </w:r>
      <w:r>
        <w:rPr/>
        <w:t>–</w:t>
      </w:r>
      <w:r>
        <w:rPr/>
        <w:t xml:space="preserve"> may be too broad, particularly if the counterparty is a listed company.</w:t>
      </w:r>
    </w:p>
    <w:p>
      <w:pPr>
        <w:pStyle w:val="BodyText"/>
        <w:snapToGrid w:val="false"/>
        <w:spacing w:lineRule="atLeast" w:line="280"/>
        <w:rPr/>
      </w:pPr>
      <w:r>
        <w:rPr/>
      </w:r>
    </w:p>
    <w:p>
      <w:pPr>
        <w:pStyle w:val="BodyText"/>
        <w:snapToGrid w:val="false"/>
        <w:spacing w:lineRule="atLeast" w:line="280"/>
        <w:rPr/>
      </w:pPr>
      <w:r>
        <w:rPr/>
        <w:tab/>
      </w:r>
      <w:r>
        <w:rPr>
          <w:u w:val="single"/>
        </w:rPr>
        <w:t>Exclusive Jurisdiction (Clause 8)</w:t>
      </w:r>
      <w:r>
        <w:rPr/>
        <w:t xml:space="preserve">: The Supreme Court of Korea invalidated an exclusive jurisdiction clause where the jurisdiction that is selected has no reasonable contact with the matter in litigation. </w:t>
      </w:r>
    </w:p>
    <w:p>
      <w:pPr>
        <w:pStyle w:val="BodyText"/>
        <w:snapToGrid w:val="false"/>
        <w:spacing w:lineRule="atLeast" w:line="280"/>
        <w:rPr>
          <w:rFonts w:eastAsia="Times New Roman"/>
        </w:rPr>
      </w:pPr>
      <w:r>
        <w:rPr>
          <w:rFonts w:eastAsia="Times New Roman"/>
        </w:rPr>
        <w:t xml:space="preserve"> </w:t>
      </w:r>
    </w:p>
    <w:p>
      <w:pPr>
        <w:pStyle w:val="BodyText"/>
        <w:snapToGrid w:val="false"/>
        <w:spacing w:lineRule="atLeast" w:line="280"/>
        <w:rPr/>
      </w:pPr>
      <w:r>
        <w:rPr/>
        <w:t xml:space="preserve">Subject to the foregoing comments and the assumptions and qualifications set forth with respect to the ETA, we believe that the Commodity Derivative GTC would constitute a valid, binding and enforceable obligation of the counterparty in Korea under Korean law. </w:t>
      </w:r>
    </w:p>
    <w:p>
      <w:pPr>
        <w:pStyle w:val="BodyText"/>
        <w:snapToGrid w:val="false"/>
        <w:spacing w:lineRule="atLeast" w:line="280"/>
        <w:rPr>
          <w:u w:val="single"/>
        </w:rPr>
      </w:pPr>
      <w:r>
        <w:rPr>
          <w:u w:val="single"/>
        </w:rPr>
      </w:r>
    </w:p>
    <w:p>
      <w:pPr>
        <w:pStyle w:val="BodyText"/>
        <w:snapToGrid w:val="false"/>
        <w:spacing w:lineRule="atLeast" w:line="280"/>
        <w:rPr>
          <w:u w:val="single"/>
        </w:rPr>
      </w:pPr>
      <w:r>
        <w:rPr>
          <w:u w:val="single"/>
        </w:rPr>
        <w:t>Derivative Products – General Issues</w:t>
      </w:r>
    </w:p>
    <w:p>
      <w:pPr>
        <w:pStyle w:val="BodyText"/>
        <w:snapToGrid w:val="false"/>
        <w:spacing w:lineRule="atLeast" w:line="280"/>
        <w:rPr>
          <w:u w:val="single"/>
        </w:rPr>
      </w:pPr>
      <w:r>
        <w:rPr>
          <w:u w:val="single"/>
        </w:rPr>
      </w:r>
    </w:p>
    <w:p>
      <w:pPr>
        <w:pStyle w:val="BodyText"/>
        <w:snapToGrid w:val="false"/>
        <w:spacing w:lineRule="atLeast" w:line="280"/>
        <w:rPr/>
      </w:pPr>
      <w:r>
        <w:rPr/>
        <w:t>In addition to your advice on specific questions above, please also advise on the following:</w:t>
      </w:r>
    </w:p>
    <w:p>
      <w:pPr>
        <w:pStyle w:val="BodyText"/>
        <w:snapToGrid w:val="false"/>
        <w:spacing w:lineRule="atLeast" w:line="280"/>
        <w:rPr/>
      </w:pPr>
      <w:r>
        <w:rPr/>
      </w:r>
    </w:p>
    <w:p>
      <w:pPr>
        <w:pStyle w:val="BodyText"/>
        <w:numPr>
          <w:ilvl w:val="0"/>
          <w:numId w:val="3"/>
        </w:numPr>
        <w:snapToGrid w:val="false"/>
        <w:spacing w:lineRule="atLeast" w:line="280"/>
        <w:rPr>
          <w:u w:val="single"/>
        </w:rPr>
      </w:pPr>
      <w:r>
        <w:rPr>
          <w:u w:val="single"/>
        </w:rPr>
        <w:t>Capacity</w:t>
      </w:r>
    </w:p>
    <w:p>
      <w:pPr>
        <w:pStyle w:val="BodyText"/>
        <w:snapToGrid w:val="false"/>
        <w:spacing w:lineRule="atLeast" w:line="280"/>
        <w:rPr>
          <w:u w:val="single"/>
        </w:rPr>
      </w:pPr>
      <w:r>
        <w:rPr>
          <w:u w:val="single"/>
        </w:rPr>
      </w:r>
    </w:p>
    <w:p>
      <w:pPr>
        <w:pStyle w:val="BodyText"/>
        <w:snapToGrid w:val="false"/>
        <w:spacing w:lineRule="atLeast" w:line="280"/>
        <w:rPr/>
      </w:pPr>
      <w:r>
        <w:rPr/>
        <w:t xml:space="preserve">We understand from your 1999 Memorandum that trading corporations, banks, insurance companies and government authorities/state owned entities generally have the capacity to enter into derivative transactions for hedging purposes. Please advise if your opinion is different with </w:t>
      </w:r>
      <w:r>
        <w:rPr>
          <w:u w:val="single"/>
        </w:rPr>
        <w:t>particular reference to Weather Derivatives and trading via EnronOnline.</w:t>
      </w:r>
      <w:r>
        <w:rPr>
          <w:u w:val="single"/>
        </w:rPr>
        <w:t xml:space="preserve">                    </w:t>
      </w:r>
    </w:p>
    <w:p>
      <w:pPr>
        <w:pStyle w:val="BodyText"/>
        <w:snapToGrid w:val="false"/>
        <w:spacing w:lineRule="atLeast" w:line="280"/>
        <w:rPr/>
      </w:pPr>
      <w:r>
        <w:rPr/>
      </w:r>
    </w:p>
    <w:p>
      <w:pPr>
        <w:pStyle w:val="BodyText"/>
        <w:snapToGrid w:val="false"/>
        <w:spacing w:lineRule="atLeast" w:line="280"/>
        <w:rPr/>
      </w:pPr>
      <w:r>
        <w:rPr/>
        <w:t>Our advice will be the same with respect to Weather Derivatives and trading via EnronOnline.</w:t>
      </w:r>
    </w:p>
    <w:p>
      <w:pPr>
        <w:pStyle w:val="BodyText"/>
        <w:snapToGrid w:val="false"/>
        <w:spacing w:lineRule="atLeast" w:line="280"/>
        <w:rPr>
          <w:rFonts w:eastAsia="Times New Roman"/>
        </w:rPr>
      </w:pPr>
      <w:r>
        <w:rPr>
          <w:rFonts w:eastAsia="Times New Roman"/>
        </w:rPr>
        <w:t xml:space="preserve"> </w:t>
      </w:r>
    </w:p>
    <w:p>
      <w:pPr>
        <w:pStyle w:val="BodyText"/>
        <w:numPr>
          <w:ilvl w:val="0"/>
          <w:numId w:val="3"/>
        </w:numPr>
        <w:snapToGrid w:val="false"/>
        <w:spacing w:lineRule="atLeast" w:line="280"/>
        <w:rPr>
          <w:u w:val="single"/>
        </w:rPr>
      </w:pPr>
      <w:r>
        <w:rPr>
          <w:u w:val="single"/>
        </w:rPr>
        <w:t>Exchange Control, Approval and Reporting Requirements</w:t>
      </w:r>
    </w:p>
    <w:p>
      <w:pPr>
        <w:pStyle w:val="BodyText"/>
        <w:snapToGrid w:val="false"/>
        <w:spacing w:lineRule="atLeast" w:line="280"/>
        <w:rPr>
          <w:u w:val="single"/>
        </w:rPr>
      </w:pPr>
      <w:r>
        <w:rPr>
          <w:u w:val="single"/>
        </w:rPr>
      </w:r>
    </w:p>
    <w:p>
      <w:pPr>
        <w:pStyle w:val="BodyText"/>
        <w:numPr>
          <w:ilvl w:val="0"/>
          <w:numId w:val="2"/>
        </w:numPr>
        <w:snapToGrid w:val="false"/>
        <w:spacing w:lineRule="atLeast" w:line="280"/>
        <w:rPr>
          <w:u w:val="single"/>
        </w:rPr>
      </w:pPr>
      <w:r>
        <w:rPr>
          <w:u w:val="single"/>
        </w:rPr>
        <w:t>Weather Derivatives</w:t>
      </w:r>
    </w:p>
    <w:p>
      <w:pPr>
        <w:pStyle w:val="BodyText"/>
        <w:snapToGrid w:val="false"/>
        <w:spacing w:lineRule="atLeast" w:line="280"/>
        <w:rPr>
          <w:u w:val="single"/>
        </w:rPr>
      </w:pPr>
      <w:r>
        <w:rPr>
          <w:u w:val="single"/>
        </w:rPr>
      </w:r>
    </w:p>
    <w:p>
      <w:pPr>
        <w:pStyle w:val="BodyText"/>
        <w:snapToGrid w:val="false"/>
        <w:spacing w:lineRule="atLeast" w:line="280"/>
        <w:ind w:start="720" w:end="0"/>
        <w:rPr/>
      </w:pPr>
      <w:r>
        <w:rPr/>
        <w:t xml:space="preserve">Are there any exchange control issues that would impact on the settlement of Weather Derivatives by a Korean counterparty paying US dollars to the relevant offshore Enron </w:t>
      </w:r>
      <w:r>
        <w:rPr>
          <w:u w:val="single"/>
        </w:rPr>
        <w:t>affiliate ? If so, how?</w:t>
      </w:r>
      <w:r>
        <w:rPr>
          <w:u w:val="single"/>
        </w:rPr>
        <w:t xml:space="preserve">                                                       </w:t>
      </w:r>
    </w:p>
    <w:p>
      <w:pPr>
        <w:pStyle w:val="BodyText"/>
        <w:snapToGrid w:val="false"/>
        <w:spacing w:lineRule="atLeast" w:line="280"/>
        <w:ind w:start="720" w:end="0"/>
        <w:rPr/>
      </w:pPr>
      <w:r>
        <w:rPr/>
      </w:r>
    </w:p>
    <w:p>
      <w:pPr>
        <w:pStyle w:val="BodyText"/>
        <w:snapToGrid w:val="false"/>
        <w:spacing w:lineRule="atLeast" w:line="280"/>
        <w:ind w:start="720" w:end="0"/>
        <w:rPr/>
      </w:pPr>
      <w:r>
        <w:rPr/>
        <w:t>Please see the discussion above under 5 of Weather Derivatives.</w:t>
      </w:r>
    </w:p>
    <w:p>
      <w:pPr>
        <w:pStyle w:val="BodyText"/>
        <w:snapToGrid w:val="false"/>
        <w:spacing w:lineRule="atLeast" w:line="280"/>
        <w:ind w:start="720" w:end="0"/>
        <w:rPr/>
      </w:pPr>
      <w:r>
        <w:rPr/>
      </w:r>
    </w:p>
    <w:p>
      <w:pPr>
        <w:pStyle w:val="BodyText"/>
        <w:snapToGrid w:val="false"/>
        <w:spacing w:lineRule="atLeast" w:line="280"/>
        <w:ind w:start="720" w:end="0"/>
        <w:rPr/>
      </w:pPr>
      <w:r>
        <w:rPr/>
        <w:t xml:space="preserve">What approval and reporting requirements (if any) would apply to the trading of Weather Derivatives? Whose responsibility would it be to obtain such approvals and make such </w:t>
      </w:r>
      <w:r>
        <w:rPr>
          <w:u w:val="single"/>
        </w:rPr>
        <w:t>reports? What are the consequences of not doing so?</w:t>
      </w:r>
      <w:r>
        <w:rPr>
          <w:u w:val="single"/>
        </w:rPr>
        <w:t xml:space="preserve">                              </w:t>
      </w:r>
    </w:p>
    <w:p>
      <w:pPr>
        <w:pStyle w:val="BodyText"/>
        <w:snapToGrid w:val="false"/>
        <w:spacing w:lineRule="atLeast" w:line="280"/>
        <w:ind w:start="720" w:end="0"/>
        <w:rPr>
          <w:u w:val="single"/>
        </w:rPr>
      </w:pPr>
      <w:r>
        <w:rPr>
          <w:u w:val="single"/>
        </w:rPr>
      </w:r>
    </w:p>
    <w:p>
      <w:pPr>
        <w:pStyle w:val="BodyText"/>
        <w:snapToGrid w:val="false"/>
        <w:spacing w:lineRule="atLeast" w:line="280"/>
        <w:ind w:start="720" w:end="0"/>
        <w:rPr/>
      </w:pPr>
      <w:r>
        <w:rPr/>
        <w:t>Please see the discussion above under 5 of Weather Derivatives.</w:t>
      </w:r>
    </w:p>
    <w:p>
      <w:pPr>
        <w:pStyle w:val="BodyText"/>
        <w:snapToGrid w:val="false"/>
        <w:spacing w:lineRule="atLeast" w:line="280"/>
        <w:rPr/>
      </w:pPr>
      <w:r>
        <w:rPr/>
      </w:r>
    </w:p>
    <w:p>
      <w:pPr>
        <w:pStyle w:val="BodyText"/>
        <w:snapToGrid w:val="false"/>
        <w:spacing w:lineRule="atLeast" w:line="280"/>
        <w:rPr/>
      </w:pPr>
      <w:r>
        <w:rPr/>
        <w:t>(ii)</w:t>
        <w:tab/>
      </w:r>
      <w:r>
        <w:rPr>
          <w:u w:val="single"/>
        </w:rPr>
        <w:t>Commodity Derivatives</w:t>
      </w:r>
    </w:p>
    <w:p>
      <w:pPr>
        <w:pStyle w:val="BodyText"/>
        <w:snapToGrid w:val="false"/>
        <w:spacing w:lineRule="atLeast" w:line="280"/>
        <w:ind w:start="720" w:end="0"/>
        <w:rPr/>
      </w:pPr>
      <w:r>
        <w:rPr/>
      </w:r>
    </w:p>
    <w:p>
      <w:pPr>
        <w:pStyle w:val="BodyText"/>
        <w:snapToGrid w:val="false"/>
        <w:spacing w:lineRule="atLeast" w:line="280"/>
        <w:ind w:start="720" w:end="0"/>
        <w:rPr/>
      </w:pPr>
      <w:r>
        <w:rPr/>
        <w:t>We note from your 1999 Memorandum that prior report to the Bank of Korea is required for Commodity Derivatives.</w:t>
      </w:r>
    </w:p>
    <w:p>
      <w:pPr>
        <w:pStyle w:val="BodyText"/>
        <w:snapToGrid w:val="false"/>
        <w:spacing w:lineRule="atLeast" w:line="280"/>
        <w:ind w:start="720" w:end="0"/>
        <w:rPr/>
      </w:pPr>
      <w:r>
        <w:rPr/>
      </w:r>
    </w:p>
    <w:p>
      <w:pPr>
        <w:pStyle w:val="BodyText"/>
        <w:snapToGrid w:val="false"/>
        <w:spacing w:lineRule="atLeast" w:line="280"/>
        <w:ind w:start="720" w:end="0"/>
        <w:rPr/>
      </w:pPr>
      <w:r>
        <w:rPr/>
        <w:t xml:space="preserve">Whose responsibility is it to file the report to the Bank of Korea? What are the </w:t>
      </w:r>
      <w:r>
        <w:rPr>
          <w:u w:val="single"/>
        </w:rPr>
        <w:t>consequences of not filing the report with the Bank of Korea?</w:t>
      </w:r>
      <w:r>
        <w:rPr>
          <w:u w:val="single"/>
        </w:rPr>
        <w:t xml:space="preserve">                       </w:t>
      </w:r>
      <w:r>
        <w:rPr/>
        <w:t xml:space="preserve"> </w:t>
      </w:r>
    </w:p>
    <w:p>
      <w:pPr>
        <w:pStyle w:val="BodyText"/>
        <w:snapToGrid w:val="false"/>
        <w:spacing w:lineRule="atLeast" w:line="280"/>
        <w:ind w:start="720" w:end="0"/>
        <w:rPr/>
      </w:pPr>
      <w:r>
        <w:rPr/>
      </w:r>
    </w:p>
    <w:p>
      <w:pPr>
        <w:pStyle w:val="BodyText"/>
        <w:snapToGrid w:val="false"/>
        <w:spacing w:lineRule="atLeast" w:line="280"/>
        <w:ind w:start="720" w:end="0"/>
        <w:rPr/>
      </w:pPr>
      <w:r>
        <w:rPr/>
        <w:t>In principle, either party may file the report to the Bank of Korea; in practice, however, it is the counterparty in Korea that is expected to file the report.  In our informal discussions with the Bank of Korea, the Bank of Korea agreed to accept a report that is filed by a non-resident with respect to an OTC commodity derivative transaction; however, the report must be written in the Korean language in the prescribed form.  Attached hereto for your information is the English translation of the report form.</w:t>
      </w:r>
    </w:p>
    <w:p>
      <w:pPr>
        <w:pStyle w:val="BodyText"/>
        <w:snapToGrid w:val="false"/>
        <w:spacing w:lineRule="atLeast" w:line="280"/>
        <w:ind w:start="720" w:end="0"/>
        <w:rPr/>
      </w:pPr>
      <w:r>
        <w:rPr/>
      </w:r>
    </w:p>
    <w:p>
      <w:pPr>
        <w:pStyle w:val="BodyText"/>
        <w:snapToGrid w:val="false"/>
        <w:spacing w:lineRule="atLeast" w:line="280"/>
        <w:ind w:firstLine="720" w:end="0"/>
        <w:rPr/>
      </w:pPr>
      <w:r>
        <w:rPr>
          <w:u w:val="single"/>
        </w:rPr>
        <w:t>Would your advice be different if the trades were done on EnronOnline?</w:t>
      </w:r>
      <w:r>
        <w:rPr>
          <w:u w:val="single"/>
        </w:rPr>
        <w:t xml:space="preserve">                </w:t>
      </w:r>
    </w:p>
    <w:p>
      <w:pPr>
        <w:pStyle w:val="BodyText"/>
        <w:snapToGrid w:val="false"/>
        <w:spacing w:lineRule="atLeast" w:line="280"/>
        <w:ind w:firstLine="720" w:end="0"/>
        <w:rPr>
          <w:u w:val="single"/>
        </w:rPr>
      </w:pPr>
      <w:r>
        <w:rPr>
          <w:u w:val="single"/>
        </w:rPr>
      </w:r>
    </w:p>
    <w:p>
      <w:pPr>
        <w:pStyle w:val="BodyText"/>
        <w:snapToGrid w:val="false"/>
        <w:spacing w:lineRule="atLeast" w:line="280"/>
        <w:ind w:start="720" w:end="0"/>
        <w:rPr/>
      </w:pPr>
      <w:r>
        <w:rPr/>
        <w:t xml:space="preserve">The above comments would equally apply whether the trade is done on EnronOnline or otherwise.  Under the FETR, a prior report is required.  However, in cases where the trade is agreed on telephone (which we understand is the case with OTC commodity derivatives), the Bank of Korea agreed that the report would be deemed made in accordance with the FETR if the report is made as soon as possible after the written confirmation is exchanged. </w:t>
      </w:r>
    </w:p>
    <w:p>
      <w:pPr>
        <w:pStyle w:val="BodyText"/>
        <w:snapToGrid w:val="false"/>
        <w:spacing w:lineRule="atLeast" w:line="280"/>
        <w:ind w:firstLine="720" w:end="0"/>
        <w:rPr/>
      </w:pPr>
      <w:r>
        <w:rPr/>
      </w:r>
    </w:p>
    <w:p>
      <w:pPr>
        <w:pStyle w:val="BodyText"/>
        <w:snapToGrid w:val="false"/>
        <w:spacing w:lineRule="atLeast" w:line="280"/>
        <w:rPr/>
      </w:pPr>
      <w:r>
        <w:rPr/>
        <w:t>(iii)</w:t>
        <w:tab/>
      </w:r>
      <w:r>
        <w:rPr>
          <w:u w:val="single"/>
        </w:rPr>
        <w:t>Financial Derivatives</w:t>
      </w:r>
    </w:p>
    <w:p>
      <w:pPr>
        <w:pStyle w:val="BodyText"/>
        <w:snapToGrid w:val="false"/>
        <w:spacing w:lineRule="atLeast" w:line="280"/>
        <w:rPr>
          <w:u w:val="single"/>
        </w:rPr>
      </w:pPr>
      <w:r>
        <w:rPr>
          <w:u w:val="single"/>
        </w:rPr>
      </w:r>
    </w:p>
    <w:p>
      <w:pPr>
        <w:pStyle w:val="BodyText"/>
        <w:snapToGrid w:val="false"/>
        <w:spacing w:lineRule="atLeast" w:line="280"/>
        <w:ind w:start="720" w:end="0"/>
        <w:rPr/>
      </w:pPr>
      <w:r>
        <w:rPr/>
        <w:t>There are no plans presently to market and trade Financial Derivatives (eg. foreign exchange and interest rate swaps and options) on EnronOnline. However, it is contemplated that Financial Derivatives will be traded by conventional means (ie. via telephone) with Korean counterparties by traders located in Enron’s office in Japan for account of Enron’s affiliates offshore to Korea.</w:t>
      </w:r>
    </w:p>
    <w:p>
      <w:pPr>
        <w:pStyle w:val="BodyText"/>
        <w:snapToGrid w:val="false"/>
        <w:spacing w:lineRule="atLeast" w:line="280"/>
        <w:rPr>
          <w:u w:val="single"/>
        </w:rPr>
      </w:pPr>
      <w:r>
        <w:rPr>
          <w:u w:val="single"/>
        </w:rPr>
      </w:r>
    </w:p>
    <w:p>
      <w:pPr>
        <w:pStyle w:val="BodyText"/>
        <w:snapToGrid w:val="false"/>
        <w:spacing w:lineRule="atLeast" w:line="280"/>
        <w:ind w:start="720" w:end="0"/>
        <w:rPr/>
      </w:pPr>
      <w:r>
        <w:rPr/>
        <w:t xml:space="preserve">We note from your 1999 Memorandum that either foreign exchange approval, approval from the Ministry of Finance and Economy or reporting to the Bank of Korea is necessary for certain derivative transactions. Please elaborate on whether and how such requirements apply, in particular, to foreign exchange and interest rate swaps and options </w:t>
      </w:r>
      <w:r>
        <w:rPr>
          <w:u w:val="single"/>
        </w:rPr>
        <w:t>traded by conventional means.</w:t>
      </w:r>
      <w:r>
        <w:rPr>
          <w:u w:val="single"/>
        </w:rPr>
        <w:t xml:space="preserve">                                                </w:t>
      </w:r>
    </w:p>
    <w:p>
      <w:pPr>
        <w:pStyle w:val="BodyText"/>
        <w:snapToGrid w:val="false"/>
        <w:spacing w:lineRule="atLeast" w:line="280"/>
        <w:ind w:start="720" w:end="0"/>
        <w:rPr/>
      </w:pPr>
      <w:r>
        <w:rPr/>
      </w:r>
    </w:p>
    <w:p>
      <w:pPr>
        <w:pStyle w:val="BodyText"/>
        <w:snapToGrid w:val="false"/>
        <w:spacing w:lineRule="atLeast" w:line="280"/>
        <w:ind w:start="720" w:end="0"/>
        <w:rPr/>
      </w:pPr>
      <w:r>
        <w:rPr/>
        <w:t xml:space="preserve">An approval of the Bank of Korea (rather than the Ministry of Finance and Economy) would be required for a foreign exchange, interest rate swaps and options between a Korean counterparty that is not a foreign exchange bank and a non-resident such as Enron in Japan or any other offshore (i.e., outside Korea) Enron office.   </w:t>
      </w:r>
    </w:p>
    <w:p>
      <w:pPr>
        <w:pStyle w:val="BodyText"/>
        <w:snapToGrid w:val="false"/>
        <w:spacing w:lineRule="atLeast" w:line="280"/>
        <w:ind w:start="720" w:end="0"/>
        <w:rPr/>
      </w:pPr>
      <w:r>
        <w:rPr/>
      </w:r>
    </w:p>
    <w:p>
      <w:pPr>
        <w:pStyle w:val="BodyText"/>
        <w:snapToGrid w:val="false"/>
        <w:spacing w:lineRule="atLeast" w:line="280"/>
        <w:ind w:start="720" w:end="0"/>
        <w:rPr/>
      </w:pPr>
      <w:r>
        <w:rPr/>
        <w:t xml:space="preserve">Whose responsibility is it to get the relevant approvals or file the report to the Bank of Korea? What are the consequences of not the relevant approvals or filing the report with </w:t>
      </w:r>
      <w:r>
        <w:rPr>
          <w:u w:val="single"/>
        </w:rPr>
        <w:t>the Bank of Korea?</w:t>
      </w:r>
      <w:r>
        <w:rPr>
          <w:u w:val="single"/>
        </w:rPr>
        <w:t xml:space="preserve">                                                         </w:t>
      </w:r>
    </w:p>
    <w:p>
      <w:pPr>
        <w:pStyle w:val="BodyText"/>
        <w:snapToGrid w:val="false"/>
        <w:spacing w:lineRule="atLeast" w:line="280"/>
        <w:ind w:firstLine="720" w:end="0"/>
        <w:rPr/>
      </w:pPr>
      <w:r>
        <w:rPr/>
      </w:r>
    </w:p>
    <w:p>
      <w:pPr>
        <w:pStyle w:val="BodyText"/>
        <w:snapToGrid w:val="false"/>
        <w:spacing w:lineRule="atLeast" w:line="280"/>
        <w:ind w:start="720" w:end="0"/>
        <w:rPr/>
      </w:pPr>
      <w:r>
        <w:rPr/>
        <w:t>In principle, either party may obtain the approval or file a report; however, in practice, it is the counterparty in Korea that assumes such responsibility.  If such necessary approval or reporting is not obtained or made, the Korean counterparty would not be able to remit its payments under the transaction.  Korean courts have held that a violation of the foreign exchange laws and regulations would not affect the validity of the contract; therefore, in the event of the Korean counterparty</w:t>
      </w:r>
      <w:r>
        <w:rPr/>
        <w:t>’</w:t>
      </w:r>
      <w:r>
        <w:rPr/>
        <w:t xml:space="preserve">s default, Enron would be able to obtain a judgment from a Korean court.  However, the Supreme Court of Korea ruled that a foreign exchange authorization that was originally required should be obtained in order to execute the judgment against the Korean party and remit the proceeds., </w:t>
      </w:r>
    </w:p>
    <w:p>
      <w:pPr>
        <w:pStyle w:val="BodyText"/>
        <w:snapToGrid w:val="false"/>
        <w:spacing w:lineRule="atLeast" w:line="280"/>
        <w:ind w:firstLine="720" w:end="0"/>
        <w:rPr/>
      </w:pPr>
      <w:r>
        <w:rPr/>
      </w:r>
    </w:p>
    <w:p>
      <w:pPr>
        <w:pStyle w:val="BodyText"/>
        <w:snapToGrid w:val="false"/>
        <w:spacing w:lineRule="atLeast" w:line="280"/>
        <w:rPr/>
      </w:pPr>
      <w:r>
        <w:rPr/>
        <w:t>3.</w:t>
        <w:tab/>
      </w:r>
      <w:r>
        <w:rPr>
          <w:u w:val="single"/>
        </w:rPr>
        <w:t>Taxation</w:t>
      </w:r>
    </w:p>
    <w:p>
      <w:pPr>
        <w:pStyle w:val="BodyText"/>
        <w:snapToGrid w:val="false"/>
        <w:spacing w:lineRule="atLeast" w:line="280"/>
        <w:rPr>
          <w:u w:val="single"/>
        </w:rPr>
      </w:pPr>
      <w:r>
        <w:rPr>
          <w:u w:val="single"/>
        </w:rPr>
      </w:r>
    </w:p>
    <w:p>
      <w:pPr>
        <w:pStyle w:val="BodyText"/>
        <w:snapToGrid w:val="false"/>
        <w:spacing w:lineRule="atLeast" w:line="280"/>
        <w:rPr/>
      </w:pPr>
      <w:r>
        <w:rPr/>
        <w:t xml:space="preserve">We note from your 1999 Memorandum that Korean tax laws list the types of Korean source incomes, which are subject to withholding tax when paid to a non-resident. Please advise specifically whether payments under Weather Derivatives, Commodity Derivatives and Financial </w:t>
      </w:r>
      <w:r>
        <w:rPr>
          <w:u w:val="single"/>
        </w:rPr>
        <w:t>Derivatives as contemplated herein would be Korean source incomes subject to withholding tax.</w:t>
      </w:r>
      <w:r>
        <w:rPr>
          <w:u w:val="single"/>
        </w:rPr>
        <w:t xml:space="preserve"> </w:t>
      </w:r>
      <w:r>
        <w:rPr/>
        <w:t xml:space="preserve"> </w:t>
      </w:r>
    </w:p>
    <w:p>
      <w:pPr>
        <w:pStyle w:val="BodyText"/>
        <w:snapToGrid w:val="false"/>
        <w:spacing w:lineRule="atLeast" w:line="280"/>
        <w:rPr/>
      </w:pPr>
      <w:r>
        <w:rPr/>
      </w:r>
    </w:p>
    <w:p>
      <w:pPr>
        <w:pStyle w:val="BodyText"/>
        <w:snapToGrid w:val="false"/>
        <w:spacing w:lineRule="atLeast" w:line="280"/>
        <w:rPr/>
      </w:pPr>
      <w:r>
        <w:rPr/>
        <w:t xml:space="preserve">It is not clear whether the </w:t>
      </w:r>
      <w:r>
        <w:rPr/>
        <w:t>types of Korean source incomes</w:t>
      </w:r>
      <w:r>
        <w:rPr/>
        <w:t xml:space="preserve"> include the </w:t>
      </w:r>
      <w:r>
        <w:rPr/>
        <w:t>payments under Weather Derivatives, Commodity Derivatives and Financial Derivatives</w:t>
      </w:r>
      <w:r>
        <w:rPr/>
        <w:t xml:space="preserve">.  Rather, under Korean tax law, the future and option trades based on the stock price index of the KSE and future trades on the KOFEX are specifically excluded from the </w:t>
      </w:r>
      <w:r>
        <w:rPr/>
        <w:t>Korean source incomes</w:t>
      </w:r>
      <w:r>
        <w:rPr/>
        <w:t xml:space="preserve">.  Even though the Korean tax authorities could (not likely) try to characterize the contemplated derivatives as </w:t>
      </w:r>
      <w:r>
        <w:rPr/>
        <w:t>“</w:t>
      </w:r>
      <w:r>
        <w:rPr/>
        <w:t>other income</w:t>
      </w:r>
      <w:r>
        <w:rPr/>
        <w:t>”</w:t>
      </w:r>
      <w:r>
        <w:rPr/>
        <w:t xml:space="preserve"> as one of the Korean source incomes, if the relevant Enron entity is engaged mainly in such derivatives business, income characterization as </w:t>
      </w:r>
      <w:r>
        <w:rPr/>
        <w:t>“</w:t>
      </w:r>
      <w:r>
        <w:rPr/>
        <w:t>business profits</w:t>
      </w:r>
      <w:r>
        <w:rPr/>
        <w:t>”</w:t>
      </w:r>
      <w:r>
        <w:rPr/>
        <w:t xml:space="preserve"> seems to be a more reasonable interpretation (where such </w:t>
      </w:r>
      <w:r>
        <w:rPr/>
        <w:t>business</w:t>
      </w:r>
      <w:r>
        <w:rPr/>
        <w:t xml:space="preserve"> profits are not subject to Korean income taxation unless the </w:t>
      </w:r>
      <w:r>
        <w:rPr/>
        <w:t>recipient</w:t>
      </w:r>
      <w:r>
        <w:rPr/>
        <w:t xml:space="preserve"> has a permanent establishment or fixed base in Korea). </w:t>
      </w:r>
    </w:p>
    <w:p>
      <w:pPr>
        <w:pStyle w:val="BodyText"/>
        <w:snapToGrid w:val="false"/>
        <w:spacing w:lineRule="atLeast" w:line="280"/>
        <w:rPr/>
      </w:pPr>
      <w:r>
        <w:rPr/>
      </w:r>
    </w:p>
    <w:p>
      <w:pPr>
        <w:pStyle w:val="BodyText"/>
        <w:numPr>
          <w:ilvl w:val="0"/>
          <w:numId w:val="3"/>
        </w:numPr>
        <w:snapToGrid w:val="false"/>
        <w:spacing w:lineRule="atLeast" w:line="280"/>
        <w:rPr>
          <w:u w:val="single"/>
        </w:rPr>
      </w:pPr>
      <w:r>
        <w:rPr>
          <w:u w:val="single"/>
        </w:rPr>
        <w:t>Miscellaneous</w:t>
      </w:r>
    </w:p>
    <w:p>
      <w:pPr>
        <w:pStyle w:val="BodyText"/>
        <w:snapToGrid w:val="false"/>
        <w:spacing w:lineRule="atLeast" w:line="280"/>
        <w:rPr>
          <w:u w:val="single"/>
        </w:rPr>
      </w:pPr>
      <w:r>
        <w:rPr>
          <w:u w:val="single"/>
        </w:rPr>
      </w:r>
    </w:p>
    <w:p>
      <w:pPr>
        <w:pStyle w:val="BodyText"/>
        <w:snapToGrid w:val="false"/>
        <w:spacing w:lineRule="atLeast" w:line="280"/>
        <w:rPr/>
      </w:pPr>
      <w:r>
        <w:rPr/>
        <w:t xml:space="preserve">Please also advise if any part of your 1999 Memorandum would be modified by the above information and on any other material issues in your opinion ought to be brought to our attention </w:t>
      </w:r>
      <w:r>
        <w:rPr>
          <w:u w:val="single"/>
        </w:rPr>
        <w:t>regarding EnronOnline and the trading of the derivative products described above.</w:t>
      </w:r>
      <w:r>
        <w:rPr>
          <w:u w:val="single"/>
        </w:rPr>
        <w:t xml:space="preserve">             </w:t>
      </w:r>
      <w:r>
        <w:rPr/>
        <w:t xml:space="preserve"> </w:t>
      </w:r>
    </w:p>
    <w:p>
      <w:pPr>
        <w:pStyle w:val="Normal"/>
        <w:rPr/>
      </w:pPr>
      <w:r>
        <w:rPr/>
      </w:r>
    </w:p>
    <w:p>
      <w:pPr>
        <w:pStyle w:val="BodyText"/>
        <w:rPr>
          <w:rFonts w:eastAsia="바탕체"/>
        </w:rPr>
      </w:pPr>
      <w:r>
        <w:rPr>
          <w:rFonts w:eastAsia="바탕체"/>
        </w:rPr>
        <w:t>We hav no additional comments except as set forth above.</w:t>
      </w:r>
    </w:p>
    <w:sectPr>
      <w:headerReference w:type="default" r:id="rId2"/>
      <w:headerReference w:type="first" r:id="rId3"/>
      <w:footerReference w:type="default" r:id="rId4"/>
      <w:footerReference w:type="first" r:id="rId5"/>
      <w:type w:val="nextPage"/>
      <w:pgSz w:w="12240" w:h="15840"/>
      <w:pgMar w:left="1418" w:right="1418" w:gutter="0" w:header="851" w:top="1418" w:footer="992" w:bottom="1418"/>
      <w:pgNumType w:fmt="decimal"/>
      <w:formProt w:val="false"/>
      <w:titlePg/>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30.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kern w:val="0"/>
        <w:sz w:val="18"/>
      </w:rPr>
    </w:pPr>
    <w:r>
      <w:rPr>
        <w:kern w:val="0"/>
        <w:sz w:val="18"/>
      </w:rPr>
    </w:r>
  </w:p>
  <w:p>
    <w:pPr>
      <w:pStyle w:val="Footer"/>
      <w:rPr>
        <w:kern w:val="0"/>
        <w:sz w:val="16"/>
      </w:rPr>
    </w:pPr>
    <w:r>
      <w:rPr>
        <w:kern w:val="0"/>
        <w:sz w:val="16"/>
      </w:rPr>
      <w:fldChar w:fldCharType="begin"/>
    </w:r>
    <w:r>
      <w:rPr>
        <w:sz w:val="16"/>
        <w:kern w:val="0"/>
      </w:rPr>
      <w:instrText xml:space="preserve"> FILENAME \p </w:instrText>
    </w:r>
    <w:r>
      <w:rPr>
        <w:sz w:val="16"/>
        <w:kern w:val="0"/>
      </w:rPr>
      <w:fldChar w:fldCharType="separate"/>
    </w:r>
    <w:r>
      <w:rPr>
        <w:sz w:val="16"/>
        <w:kern w:val="0"/>
      </w:rPr>
      <w:t>/mnt/main-storage/datasets/enron-docs/doc/enr0710.skh.doc</w:t>
    </w:r>
    <w:r>
      <w:rPr>
        <w:sz w:val="16"/>
        <w:kern w:val="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exact" w:line="280"/>
      <w:jc w:val="start"/>
      <w:rPr/>
    </w:pPr>
    <w:r>
      <w:rPr/>
    </w:r>
    <w:r>
      <mc:AlternateContent>
        <mc:Choice Requires="wps">
          <w:drawing>
            <wp:anchor behindDoc="0" distT="0" distB="0" distL="90170" distR="90170" simplePos="0" locked="0" layoutInCell="0" allowOverlap="1" relativeHeight="19">
              <wp:simplePos x="0" y="0"/>
              <wp:positionH relativeFrom="page">
                <wp:posOffset>5785485</wp:posOffset>
              </wp:positionH>
              <wp:positionV relativeFrom="page">
                <wp:posOffset>558165</wp:posOffset>
              </wp:positionV>
              <wp:extent cx="1703070" cy="342265"/>
              <wp:effectExtent l="0" t="0" r="0" b="0"/>
              <wp:wrapSquare wrapText="bothSides"/>
              <wp:docPr id="1" name="Frame2"/>
              <a:graphic xmlns:a="http://schemas.openxmlformats.org/drawingml/2006/main">
                <a:graphicData uri="http://schemas.microsoft.com/office/word/2010/wordprocessingShape">
                  <wps:wsp>
                    <wps:cNvSpPr txBox="1"/>
                    <wps:spPr>
                      <a:xfrm>
                        <a:off x="0" y="0"/>
                        <a:ext cx="1703070" cy="342265"/>
                      </a:xfrm>
                      <a:prstGeom prst="rect"/>
                      <a:solidFill>
                        <a:srgbClr val="FFFFFF">
                          <a:alpha val="0"/>
                        </a:srgbClr>
                      </a:solidFill>
                    </wps:spPr>
                    <wps:txbx>
                      <w:txbxContent>
                        <w:p>
                          <w:pPr>
                            <w:pStyle w:val="Heading4"/>
                            <w:pBdr>
                              <w:top w:val="nil"/>
                              <w:left w:val="nil"/>
                              <w:bottom w:val="nil"/>
                              <w:right w:val="nil"/>
                            </w:pBdr>
                            <w:ind w:hanging="0" w:start="0"/>
                            <w:rPr/>
                          </w:pPr>
                          <w:r>
                            <w:rPr/>
                          </w:r>
                        </w:p>
                      </w:txbxContent>
                    </wps:txbx>
                    <wps:bodyPr anchor="t" lIns="0" tIns="0" rIns="0" bIns="0">
                      <a:noAutofit/>
                    </wps:bodyPr>
                  </wps:wsp>
                </a:graphicData>
              </a:graphic>
            </wp:anchor>
          </w:drawing>
        </mc:Choice>
        <mc:Fallback>
          <w:pict>
            <v:rect fillcolor="#FFFFFF" style="position:absolute;rotation:-0;width:134.1pt;height:26.95pt;mso-wrap-distance-left:7.1pt;mso-wrap-distance-right:7.1pt;mso-wrap-distance-top:0pt;mso-wrap-distance-bottom:0pt;margin-top:43.95pt;mso-position-vertical-relative:page;margin-left:455.55pt;mso-position-horizontal-relative:page">
              <v:fill opacity="0f"/>
              <v:textbox inset="0in,0in,0in,0in">
                <w:txbxContent>
                  <w:p>
                    <w:pPr>
                      <w:pStyle w:val="Heading4"/>
                      <w:pBdr>
                        <w:top w:val="nil"/>
                        <w:left w:val="nil"/>
                        <w:bottom w:val="nil"/>
                        <w:right w:val="nil"/>
                      </w:pBdr>
                      <w:ind w:hanging="0" w:start="0"/>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u w:val="none"/>
      </w:rPr>
    </w:lvl>
  </w:abstractNum>
  <w:abstractNum w:abstractNumId="3">
    <w:lvl w:ilvl="0">
      <w:start w:val="1"/>
      <w:numFmt w:val="decimal"/>
      <w:lvlText w:val="%1."/>
      <w:lvlJc w:val="start"/>
      <w:pPr>
        <w:tabs>
          <w:tab w:val="num" w:pos="360"/>
        </w:tabs>
        <w:ind w:start="360" w:hanging="360"/>
      </w:pPr>
      <w:rPr>
        <w:u w:val="none"/>
        <w:b w:val="false"/>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1181"/>
        </w:tabs>
        <w:ind w:start="1181" w:hanging="33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6"/>
      <w:numFmt w:val="bullet"/>
      <w:lvlText w:val="-"/>
      <w:lvlJc w:val="start"/>
      <w:pPr>
        <w:tabs>
          <w:tab w:val="num" w:pos="1080"/>
        </w:tabs>
        <w:ind w:start="1080" w:hanging="360"/>
      </w:pPr>
      <w:rPr>
        <w:rFonts w:ascii="Times New Roman" w:hAnsi="Times New Roman" w:cs="Times New Roman" w:hint="default"/>
      </w:rPr>
    </w:lvl>
  </w:abstractNum>
  <w:abstractNum w:abstractNumId="8">
    <w:lvl w:ilvl="0">
      <w:start w:val="2"/>
      <w:numFmt w:val="decimal"/>
      <w:lvlText w:val="%1."/>
      <w:lvlJc w:val="start"/>
      <w:pPr>
        <w:tabs>
          <w:tab w:val="num" w:pos="720"/>
        </w:tabs>
        <w:ind w:start="720" w:hanging="720"/>
      </w:pPr>
      <w:rPr/>
    </w:lvl>
  </w:abstractNum>
  <w:abstractNum w:abstractNumId="9">
    <w:lvl w:ilvl="0">
      <w:start w:val="2"/>
      <w:numFmt w:val="lowerLetter"/>
      <w:lvlText w:val="(%1)"/>
      <w:lvlJc w:val="start"/>
      <w:pPr>
        <w:tabs>
          <w:tab w:val="num" w:pos="1695"/>
        </w:tabs>
        <w:ind w:start="1695" w:hanging="840"/>
      </w:pPr>
      <w:rPr/>
    </w:lvl>
  </w:abstractNum>
  <w:abstractNum w:abstractNumId="10">
    <w:lvl w:ilvl="0">
      <w:start w:val="1"/>
      <w:numFmt w:val="lowerLetter"/>
      <w:lvlText w:val="(%1)"/>
      <w:lvlJc w:val="start"/>
      <w:pPr>
        <w:tabs>
          <w:tab w:val="num" w:pos="855"/>
        </w:tabs>
        <w:ind w:start="855" w:hanging="85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바탕체" w:cs="Times New Roman"/>
      <w:color w:val="auto"/>
      <w:kern w:val="2"/>
      <w:sz w:val="20"/>
      <w:szCs w:val="20"/>
      <w:lang w:val="en-US" w:eastAsia="ko-KR" w:bidi="hi-IN"/>
    </w:rPr>
  </w:style>
  <w:style w:type="paragraph" w:styleId="Heading1">
    <w:name w:val="heading 1"/>
    <w:basedOn w:val="Normal"/>
    <w:next w:val="Normal"/>
    <w:qFormat/>
    <w:pPr>
      <w:keepNext w:val="true"/>
      <w:numPr>
        <w:ilvl w:val="0"/>
        <w:numId w:val="1"/>
      </w:numPr>
      <w:jc w:val="end"/>
      <w:outlineLvl w:val="0"/>
    </w:pPr>
    <w:rPr>
      <w:rFonts w:ascii="Arial Black" w:hAnsi="Arial Black" w:eastAsia="굴림체" w:cs="Arial Black"/>
      <w:sz w:val="28"/>
    </w:rPr>
  </w:style>
  <w:style w:type="paragraph" w:styleId="Heading2">
    <w:name w:val="heading 2"/>
    <w:basedOn w:val="Normal"/>
    <w:next w:val="Style11"/>
    <w:qFormat/>
    <w:pPr>
      <w:keepNext w:val="true"/>
      <w:numPr>
        <w:ilvl w:val="1"/>
        <w:numId w:val="1"/>
      </w:numPr>
      <w:ind w:firstLine="851" w:start="5106" w:end="0"/>
      <w:outlineLvl w:val="1"/>
    </w:pPr>
    <w:rPr>
      <w:rFonts w:eastAsia="굴림체"/>
      <w:sz w:val="24"/>
    </w:rPr>
  </w:style>
  <w:style w:type="paragraph" w:styleId="Heading3">
    <w:name w:val="heading 3"/>
    <w:basedOn w:val="Normal"/>
    <w:next w:val="Style11"/>
    <w:qFormat/>
    <w:pPr>
      <w:keepNext w:val="true"/>
      <w:numPr>
        <w:ilvl w:val="2"/>
        <w:numId w:val="1"/>
      </w:numPr>
      <w:spacing w:lineRule="exact" w:line="240"/>
      <w:outlineLvl w:val="2"/>
    </w:pPr>
    <w:rPr>
      <w:rFonts w:eastAsia="굴림체"/>
      <w:b/>
    </w:rPr>
  </w:style>
  <w:style w:type="paragraph" w:styleId="Heading4">
    <w:name w:val="heading 4"/>
    <w:basedOn w:val="Normal"/>
    <w:next w:val="Style11"/>
    <w:qFormat/>
    <w:pPr>
      <w:keepNext w:val="true"/>
      <w:numPr>
        <w:ilvl w:val="3"/>
        <w:numId w:val="1"/>
      </w:numPr>
      <w:pBdr>
        <w:top w:val="single" w:sz="6" w:space="1" w:color="000000"/>
        <w:left w:val="single" w:sz="6" w:space="1" w:color="000000"/>
        <w:bottom w:val="single" w:sz="6" w:space="1" w:color="000000"/>
        <w:right w:val="single" w:sz="6" w:space="1" w:color="000000"/>
      </w:pBdr>
      <w:outlineLvl w:val="3"/>
    </w:pPr>
    <w:rPr>
      <w:rFonts w:ascii="Arial Black" w:hAnsi="Arial Black" w:cs="Arial Black"/>
      <w:sz w:val="28"/>
    </w:rPr>
  </w:style>
  <w:style w:type="character" w:styleId="WW8Num1z0">
    <w:name w:val="WW8Num1z0"/>
    <w:qFormat/>
    <w:rPr>
      <w:u w:val="none"/>
    </w:rPr>
  </w:style>
  <w:style w:type="character" w:styleId="WW8Num2z0">
    <w:name w:val="WW8Num2z0"/>
    <w:qFormat/>
    <w:rPr>
      <w:b w:val="false"/>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eastAsia="바탕체" w:cs="Times New Roman"/>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Style10">
    <w:name w:val="기본 단락 글꼴"/>
    <w:qFormat/>
    <w:rPr/>
  </w:style>
  <w:style w:type="character" w:styleId="Hyperlink">
    <w:name w:val="Hyperlink"/>
    <w:basedOn w:val="Style10"/>
    <w:rPr>
      <w:color w:val="0000FF"/>
      <w:u w:val="single"/>
    </w:rPr>
  </w:style>
  <w:style w:type="character" w:styleId="PageNumber">
    <w:name w:val="page number"/>
    <w:basedOn w:val="Style10"/>
    <w:rPr/>
  </w:style>
  <w:style w:type="paragraph" w:styleId="Heading">
    <w:name w:val="Heading"/>
    <w:basedOn w:val="Normal"/>
    <w:next w:val="BodyText"/>
    <w:qFormat/>
    <w:pPr>
      <w:jc w:val="center"/>
    </w:pPr>
    <w:rPr>
      <w:rFonts w:ascii="Arial Black" w:hAnsi="Arial Black" w:eastAsia="굴림체" w:cs="Arial Black"/>
      <w:sz w:val="32"/>
    </w:rPr>
  </w:style>
  <w:style w:type="paragraph" w:styleId="BodyText">
    <w:name w:val="Body Text"/>
    <w:basedOn w:val="Normal"/>
    <w:pPr/>
    <w:rPr>
      <w:rFonts w:eastAsia="굴림체"/>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Header">
    <w:name w:val="header"/>
    <w:basedOn w:val="Normal"/>
    <w:pPr>
      <w:tabs>
        <w:tab w:val="clear" w:pos="851"/>
        <w:tab w:val="center" w:pos="4252" w:leader="none"/>
        <w:tab w:val="right" w:pos="8504" w:leader="none"/>
      </w:tabs>
      <w:snapToGrid w:val="false"/>
    </w:pPr>
    <w:rPr/>
  </w:style>
  <w:style w:type="paragraph" w:styleId="Footer">
    <w:name w:val="footer"/>
    <w:basedOn w:val="Normal"/>
    <w:pPr>
      <w:tabs>
        <w:tab w:val="clear" w:pos="851"/>
        <w:tab w:val="center" w:pos="4252" w:leader="none"/>
        <w:tab w:val="right" w:pos="8504" w:leader="none"/>
      </w:tabs>
      <w:snapToGrid w:val="false"/>
    </w:pPr>
    <w:rPr/>
  </w:style>
  <w:style w:type="paragraph" w:styleId="Style11">
    <w:name w:val="표준 밀어 맞춤"/>
    <w:basedOn w:val="Normal"/>
    <w:qFormat/>
    <w:pPr>
      <w:ind w:hanging="0" w:start="851" w:end="0"/>
    </w:pPr>
    <w:rPr/>
  </w:style>
  <w:style w:type="paragraph" w:styleId="BodyTextIndent">
    <w:name w:val="Body Text Indent"/>
    <w:basedOn w:val="Normal"/>
    <w:pPr>
      <w:spacing w:lineRule="exact" w:line="300"/>
      <w:ind w:hanging="0" w:start="851" w:end="0"/>
      <w:jc w:val="start"/>
    </w:pPr>
    <w:rPr>
      <w:sz w:val="24"/>
    </w:rPr>
  </w:style>
  <w:style w:type="paragraph" w:styleId="2">
    <w:name w:val="본문 밀어 맞춤 2"/>
    <w:basedOn w:val="Normal"/>
    <w:qFormat/>
    <w:pPr>
      <w:snapToGrid w:val="false"/>
      <w:spacing w:lineRule="atLeast" w:line="280"/>
      <w:ind w:hanging="0" w:start="720" w:end="0"/>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252"/>
        <w:tab w:val="clear" w:pos="8504"/>
        <w:tab w:val="center" w:pos="4702" w:leader="none"/>
        <w:tab w:val="right" w:pos="940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2000-07-10T03:14:00Z</dcterms:created>
  <dc:creator>이정은</dc:creator>
  <dc:description/>
  <dc:language>en-CA</dc:language>
  <cp:lastModifiedBy>Default</cp:lastModifiedBy>
  <cp:lastPrinted>2000-07-14T19:37:00Z</cp:lastPrinted>
  <dcterms:modified xsi:type="dcterms:W3CDTF">2000-07-14T08:10:00Z</dcterms:modified>
  <cp:revision>19</cp:revision>
  <dc:subject/>
  <dc:title>KIM &amp; CHANG</dc:title>
</cp:coreProperties>
</file>