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DRAFT DATED 1/22/01</w:t>
      </w:r>
    </w:p>
    <w:p>
      <w:pPr>
        <w:pStyle w:val="Normal"/>
        <w:jc w:val="center"/>
        <w:rPr>
          <w:b/>
          <w:u w:val="single"/>
        </w:rPr>
      </w:pPr>
      <w:r>
        <w:rPr>
          <w:b/>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INTER-COMPANY CREDIT AGREEMENT</w:t>
      </w:r>
    </w:p>
    <w:p>
      <w:pPr>
        <w:pStyle w:val="Normal"/>
        <w:jc w:val="center"/>
        <w:rPr/>
      </w:pPr>
      <w:r>
        <w:rPr/>
      </w:r>
    </w:p>
    <w:p>
      <w:pPr>
        <w:pStyle w:val="Normal"/>
        <w:jc w:val="center"/>
        <w:rPr/>
      </w:pPr>
      <w:r>
        <w:rPr/>
        <w:t>BY AND BETWEEN</w:t>
      </w:r>
    </w:p>
    <w:p>
      <w:pPr>
        <w:pStyle w:val="Normal"/>
        <w:jc w:val="center"/>
        <w:rPr/>
      </w:pPr>
      <w:r>
        <w:rPr/>
      </w:r>
    </w:p>
    <w:p>
      <w:pPr>
        <w:pStyle w:val="Normal"/>
        <w:jc w:val="center"/>
        <w:rPr/>
      </w:pPr>
      <w:r>
        <w:rPr/>
        <w:t xml:space="preserve">enovate, L.L.C. </w:t>
      </w:r>
    </w:p>
    <w:p>
      <w:pPr>
        <w:pStyle w:val="Normal"/>
        <w:jc w:val="center"/>
        <w:rPr/>
      </w:pPr>
      <w:r>
        <w:rPr/>
      </w:r>
    </w:p>
    <w:p>
      <w:pPr>
        <w:pStyle w:val="Normal"/>
        <w:jc w:val="center"/>
        <w:rPr/>
      </w:pPr>
      <w:r>
        <w:rPr/>
        <w:t xml:space="preserve">AND </w:t>
      </w:r>
    </w:p>
    <w:p>
      <w:pPr>
        <w:pStyle w:val="Normal"/>
        <w:jc w:val="center"/>
        <w:rPr/>
      </w:pPr>
      <w:r>
        <w:rPr/>
      </w:r>
    </w:p>
    <w:p>
      <w:pPr>
        <w:pStyle w:val="Normal"/>
        <w:jc w:val="center"/>
        <w:rPr/>
      </w:pPr>
      <w:r>
        <w:rPr/>
        <w:t xml:space="preserve">ENRON CORP. </w:t>
      </w:r>
    </w:p>
    <w:p>
      <w:pPr>
        <w:pStyle w:val="Normal"/>
        <w:jc w:val="center"/>
        <w:rPr/>
      </w:pPr>
      <w:r>
        <w:rPr/>
      </w:r>
    </w:p>
    <w:p>
      <w:pPr>
        <w:pStyle w:val="Normal"/>
        <w:jc w:val="center"/>
        <w:rPr/>
      </w:pPr>
      <w:r>
        <w:rPr/>
        <w:t xml:space="preserve">Dated as of  </w:t>
      </w:r>
      <w:r>
        <w:rPr>
          <w:b/>
        </w:rPr>
        <w:t>[</w:t>
      </w:r>
      <w:r>
        <w:rPr/>
        <w:tab/>
      </w:r>
      <w:r>
        <w:rPr>
          <w:b/>
        </w:rPr>
        <w:t>]</w:t>
      </w:r>
      <w:r>
        <w:rPr/>
        <w:t>, 2001,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jc w:val="center"/>
        <w:rPr/>
      </w:pPr>
      <w:r>
        <w:rPr/>
      </w:r>
    </w:p>
    <w:p>
      <w:pPr>
        <w:pStyle w:val="Normal"/>
        <w:rPr/>
      </w:pPr>
      <w:r>
        <w:rPr/>
      </w:r>
    </w:p>
    <w:p>
      <w:pPr>
        <w:pStyle w:val="Heading1"/>
        <w:ind w:hanging="0" w:start="0"/>
        <w:rPr/>
      </w:pPr>
      <w:r>
        <w:rPr/>
        <w:t>INTER-COMPANY CREDIT AGREEMENT</w:t>
      </w:r>
    </w:p>
    <w:p>
      <w:pPr>
        <w:pStyle w:val="Normal"/>
        <w:ind w:hanging="720" w:start="720" w:end="0"/>
        <w:jc w:val="center"/>
        <w:rPr/>
      </w:pPr>
      <w:r>
        <w:rPr/>
      </w:r>
    </w:p>
    <w:p>
      <w:pPr>
        <w:pStyle w:val="Normal"/>
        <w:jc w:val="both"/>
        <w:rPr/>
      </w:pPr>
      <w:r>
        <w:rPr/>
        <w:tab/>
        <w:tab/>
        <w:t xml:space="preserve">This Inter-Company Credit Agreement (this “Agreement”), dated as of the __ day of _________, 2001, by and between enovate, L.L.C. a Delaware limited liability company (“enovate”), and Enron Corp., an Oregon corporation (“Enron”). </w:t>
      </w:r>
    </w:p>
    <w:p>
      <w:pPr>
        <w:pStyle w:val="Normal"/>
        <w:rPr/>
      </w:pPr>
      <w:r>
        <w:rPr/>
      </w:r>
    </w:p>
    <w:p>
      <w:pPr>
        <w:pStyle w:val="Heading1"/>
        <w:ind w:hanging="0" w:start="0"/>
        <w:rPr/>
      </w:pPr>
      <w:r>
        <w:rPr/>
        <w:t>ARTICLE I</w:t>
      </w:r>
    </w:p>
    <w:p>
      <w:pPr>
        <w:pStyle w:val="Heading1"/>
        <w:ind w:hanging="0" w:start="0"/>
        <w:rPr/>
      </w:pPr>
      <w:r>
        <w:rPr/>
        <w:t>GENERAL PROVISIONS</w:t>
      </w:r>
    </w:p>
    <w:p>
      <w:pPr>
        <w:pStyle w:val="Normal"/>
        <w:jc w:val="center"/>
        <w:rPr>
          <w:u w:val="single"/>
        </w:rPr>
      </w:pPr>
      <w:r>
        <w:rPr>
          <w:u w:val="single"/>
        </w:rPr>
      </w:r>
    </w:p>
    <w:p>
      <w:pPr>
        <w:pStyle w:val="Normal"/>
        <w:rPr/>
      </w:pPr>
      <w:r>
        <w:rPr/>
        <w:tab/>
        <w:t>Section 1.01</w:t>
        <w:tab/>
      </w:r>
      <w:r>
        <w:rPr>
          <w:u w:val="single"/>
        </w:rPr>
        <w:t>Definitions.</w:t>
      </w:r>
    </w:p>
    <w:p>
      <w:pPr>
        <w:pStyle w:val="Normal"/>
        <w:rPr/>
      </w:pPr>
      <w:r>
        <w:rPr/>
      </w:r>
    </w:p>
    <w:p>
      <w:pPr>
        <w:pStyle w:val="Normal"/>
        <w:jc w:val="both"/>
        <w:rPr/>
      </w:pPr>
      <w:r>
        <w:rPr/>
        <w:tab/>
        <w:t>“</w:t>
      </w:r>
      <w:r>
        <w:rPr>
          <w:u w:val="single"/>
        </w:rPr>
        <w:t>Authorized Officer</w:t>
      </w:r>
      <w:r>
        <w:rPr/>
        <w:t>” means the President, Chief Financial Officer, any Vice President, the Treasurer, or Corporate Secretary of Enron and such other officer or agent of Enron as the President, by notice to enovate, may from time to time designate.</w:t>
      </w:r>
    </w:p>
    <w:p>
      <w:pPr>
        <w:pStyle w:val="Normal"/>
        <w:jc w:val="both"/>
        <w:rPr/>
      </w:pPr>
      <w:r>
        <w:rPr/>
      </w:r>
    </w:p>
    <w:p>
      <w:pPr>
        <w:pStyle w:val="Normal"/>
        <w:jc w:val="both"/>
        <w:rPr/>
      </w:pPr>
      <w:r>
        <w:rPr/>
        <w:tab/>
        <w:t>“</w:t>
      </w:r>
      <w:r>
        <w:rPr>
          <w:u w:val="single"/>
        </w:rPr>
        <w:t>Business Day</w:t>
      </w:r>
      <w:r>
        <w:rPr/>
        <w:t>” means a day on which banks are open for business in both the State of Illinois and the State of New York.</w:t>
      </w:r>
    </w:p>
    <w:p>
      <w:pPr>
        <w:pStyle w:val="Normal"/>
        <w:jc w:val="both"/>
        <w:rPr/>
      </w:pPr>
      <w:r>
        <w:rPr/>
      </w:r>
    </w:p>
    <w:p>
      <w:pPr>
        <w:pStyle w:val="Normal"/>
        <w:jc w:val="both"/>
        <w:rPr/>
      </w:pPr>
      <w:r>
        <w:rPr/>
        <w:tab/>
        <w:t>“</w:t>
      </w:r>
      <w:r>
        <w:rPr>
          <w:u w:val="single"/>
        </w:rPr>
        <w:t>Base Rate</w:t>
      </w:r>
      <w:r>
        <w:rPr/>
        <w:t>” means, as of any day, the dollar weighted average interest rate (expressed as a percentage per annum) payable by Enron on its commercial paper program less two (2) basis points.  In the event that Enron does not have any commercial paper outstanding, “Base Rate” shall mean the LIBOR (One Month) rate plus ten (10) basis points.  The Base Rate shall be calculated as of the close of each Business Day.</w:t>
      </w:r>
    </w:p>
    <w:p>
      <w:pPr>
        <w:pStyle w:val="Normal"/>
        <w:jc w:val="both"/>
        <w:rPr/>
      </w:pPr>
      <w:r>
        <w:rPr/>
      </w:r>
    </w:p>
    <w:p>
      <w:pPr>
        <w:pStyle w:val="Normal"/>
        <w:jc w:val="both"/>
        <w:rPr/>
      </w:pPr>
      <w:r>
        <w:rPr/>
        <w:tab/>
        <w:t>“</w:t>
      </w:r>
      <w:r>
        <w:rPr>
          <w:u w:val="single"/>
        </w:rPr>
        <w:t>Consolidated Net Worth</w:t>
      </w:r>
      <w:r>
        <w:rPr/>
        <w:t>” means, with respect to any Person, the total shareholders’ equity (including retained earnings) of such Person and its subsidiaries on a consolidated basis, as determined in accordance with generally accepted accounting principles.</w:t>
      </w:r>
    </w:p>
    <w:p>
      <w:pPr>
        <w:pStyle w:val="Normal"/>
        <w:jc w:val="both"/>
        <w:rPr/>
      </w:pPr>
      <w:r>
        <w:rPr/>
      </w:r>
    </w:p>
    <w:p>
      <w:pPr>
        <w:pStyle w:val="Normal"/>
        <w:jc w:val="both"/>
        <w:rPr/>
      </w:pPr>
      <w:r>
        <w:rPr/>
        <w:tab/>
        <w:t>“</w:t>
      </w:r>
      <w:r>
        <w:rPr>
          <w:u w:val="single"/>
        </w:rPr>
        <w:t>Credit</w:t>
      </w:r>
      <w:r>
        <w:rPr/>
        <w:t>” means the credit established under Section 2.01 hereof.</w:t>
      </w:r>
    </w:p>
    <w:p>
      <w:pPr>
        <w:pStyle w:val="Normal"/>
        <w:jc w:val="both"/>
        <w:rPr/>
      </w:pPr>
      <w:r>
        <w:rPr/>
      </w:r>
    </w:p>
    <w:p>
      <w:pPr>
        <w:pStyle w:val="Normal"/>
        <w:jc w:val="both"/>
        <w:rPr/>
      </w:pPr>
      <w:r>
        <w:rPr/>
        <w:tab/>
        <w:t>“</w:t>
      </w:r>
      <w:r>
        <w:rPr>
          <w:u w:val="single"/>
        </w:rPr>
        <w:t>Default Rate</w:t>
      </w:r>
      <w:r>
        <w:rPr/>
        <w:t>” means the Base Rate plus two percent (2%).</w:t>
      </w:r>
    </w:p>
    <w:p>
      <w:pPr>
        <w:pStyle w:val="Normal"/>
        <w:jc w:val="both"/>
        <w:rPr/>
      </w:pPr>
      <w:r>
        <w:rPr/>
      </w:r>
    </w:p>
    <w:p>
      <w:pPr>
        <w:pStyle w:val="Normal"/>
        <w:jc w:val="both"/>
        <w:rPr/>
      </w:pPr>
      <w:r>
        <w:rPr/>
        <w:tab/>
        <w:t>“</w:t>
      </w:r>
      <w:r>
        <w:rPr>
          <w:u w:val="single"/>
        </w:rPr>
        <w:t>Dollars or $</w:t>
      </w:r>
      <w:r>
        <w:rPr/>
        <w:t>” means lawful money of the United States of America.</w:t>
      </w:r>
    </w:p>
    <w:p>
      <w:pPr>
        <w:pStyle w:val="Normal"/>
        <w:jc w:val="both"/>
        <w:rPr/>
      </w:pPr>
      <w:r>
        <w:rPr/>
      </w:r>
    </w:p>
    <w:p>
      <w:pPr>
        <w:pStyle w:val="Normal"/>
        <w:jc w:val="both"/>
        <w:rPr/>
      </w:pPr>
      <w:r>
        <w:rPr/>
        <w:tab/>
        <w:t>“</w:t>
      </w:r>
      <w:r>
        <w:rPr>
          <w:u w:val="single"/>
        </w:rPr>
        <w:t>Final Maturity Date</w:t>
      </w:r>
      <w:r>
        <w:rPr/>
        <w:t>” means: (i) the Regular Maturity Date, or any extension thereof made pursuant to this Agreement, or (ii) such earlier termination date as may occur pursuant to Section 3.01 hereof.  If the Final Maturity Date is not a Business Day, the next succeeding Business Day shall be deemed to be the Final Maturity Date.</w:t>
      </w:r>
    </w:p>
    <w:p>
      <w:pPr>
        <w:pStyle w:val="Normal"/>
        <w:jc w:val="both"/>
        <w:rPr/>
      </w:pPr>
      <w:r>
        <w:rPr/>
      </w:r>
    </w:p>
    <w:p>
      <w:pPr>
        <w:pStyle w:val="Normal"/>
        <w:jc w:val="both"/>
        <w:rPr/>
      </w:pPr>
      <w:r>
        <w:rPr/>
        <w:tab/>
        <w:t>“</w:t>
      </w:r>
      <w:r>
        <w:rPr>
          <w:u w:val="single"/>
        </w:rPr>
        <w:t>Indebtedness</w:t>
      </w:r>
      <w:r>
        <w:rPr/>
        <w:t>” means (i) all indebtedness or other obligations of Enron for borrowed money; (ii) all indebtedness or obligations of any other Person for borrowed money in respect of which Enron is liable, contingently or otherwise, to pay or advance money or property as guarantor, endorser or otherwise (except as endorser for collection in the ordinary course of business); and (iii) all financing lease obligations of Enron.</w:t>
      </w:r>
    </w:p>
    <w:p>
      <w:pPr>
        <w:pStyle w:val="Normal"/>
        <w:jc w:val="both"/>
        <w:rPr/>
      </w:pPr>
      <w:r>
        <w:rPr/>
      </w:r>
    </w:p>
    <w:p>
      <w:pPr>
        <w:pStyle w:val="Normal"/>
        <w:ind w:firstLine="720" w:end="0"/>
        <w:jc w:val="both"/>
        <w:rPr/>
      </w:pPr>
      <w:r>
        <w:rPr/>
        <w:t>“</w:t>
      </w:r>
      <w:r>
        <w:rPr>
          <w:u w:val="single"/>
        </w:rPr>
        <w:t>Loan</w:t>
      </w:r>
      <w:r>
        <w:rPr/>
        <w:t>” means the borrowing under the Credit.</w:t>
      </w:r>
    </w:p>
    <w:p>
      <w:pPr>
        <w:pStyle w:val="Normal"/>
        <w:jc w:val="both"/>
        <w:rPr/>
      </w:pPr>
      <w:r>
        <w:rPr/>
      </w:r>
    </w:p>
    <w:p>
      <w:pPr>
        <w:pStyle w:val="Normal"/>
        <w:ind w:firstLine="720" w:end="0"/>
        <w:jc w:val="both"/>
        <w:rPr/>
      </w:pPr>
      <w:r>
        <w:rPr/>
        <w:t>"</w:t>
      </w:r>
      <w:r>
        <w:rPr>
          <w:u w:val="single"/>
        </w:rPr>
        <w:t>Material Adverse Effect</w:t>
      </w:r>
      <w:r>
        <w:rPr/>
        <w:t>"</w:t>
      </w:r>
      <w:r>
        <w:rPr>
          <w:i/>
        </w:rPr>
        <w:t xml:space="preserve"> </w:t>
      </w:r>
      <w:r>
        <w:rPr/>
        <w:t>means a material adverse effect on (i) the business, financial position or results of operations of Enron, (ii) the ability of Enron to perform its obligations under this Agreement, (iii) the validity or enforceability of the obligations of Enron, (iv) the rights and remedies of enovate against Enron or (v) the timely payment of the principal of and interest on the Loans or other amounts payable by Enron hereunder.</w:t>
      </w:r>
    </w:p>
    <w:p>
      <w:pPr>
        <w:pStyle w:val="Normal"/>
        <w:ind w:firstLine="720" w:end="0"/>
        <w:jc w:val="both"/>
        <w:rPr/>
      </w:pPr>
      <w:r>
        <w:rPr/>
      </w:r>
    </w:p>
    <w:p>
      <w:pPr>
        <w:pStyle w:val="Normal"/>
        <w:jc w:val="both"/>
        <w:rPr>
          <w:b/>
        </w:rPr>
      </w:pPr>
      <w:r>
        <w:rPr/>
        <w:tab/>
        <w:t>“</w:t>
      </w:r>
      <w:r>
        <w:rPr>
          <w:u w:val="single"/>
        </w:rPr>
        <w:t>Note</w:t>
      </w:r>
      <w:r>
        <w:rPr/>
        <w:t xml:space="preserve">” means the promissory note of Enron payable to the order of enovate, substantially in the form annexed hereto as Exhibit “A”, evidencing at any given time the principal amount of the Loan outstanding under the Credit. </w:t>
      </w:r>
    </w:p>
    <w:p>
      <w:pPr>
        <w:pStyle w:val="Normal"/>
        <w:jc w:val="both"/>
        <w:rPr>
          <w:b/>
        </w:rPr>
      </w:pPr>
      <w:r>
        <w:rPr>
          <w:b/>
        </w:rPr>
      </w:r>
    </w:p>
    <w:p>
      <w:pPr>
        <w:pStyle w:val="Normal"/>
        <w:jc w:val="both"/>
        <w:rPr/>
      </w:pPr>
      <w:r>
        <w:rPr/>
        <w:tab/>
        <w:t>“</w:t>
      </w:r>
      <w:r>
        <w:rPr>
          <w:u w:val="single"/>
        </w:rPr>
        <w:t>Person</w:t>
      </w:r>
      <w:r>
        <w:rPr/>
        <w:t>” means an individual, corporation, partnership, trust or unincorporated organization, limited liability company, association, or any other entity or organization, including, without limitation, a government or any agency or political subdivision thereof.</w:t>
      </w:r>
    </w:p>
    <w:p>
      <w:pPr>
        <w:pStyle w:val="Normal"/>
        <w:jc w:val="both"/>
        <w:rPr/>
      </w:pPr>
      <w:r>
        <w:rPr/>
      </w:r>
    </w:p>
    <w:p>
      <w:pPr>
        <w:pStyle w:val="Normal"/>
        <w:jc w:val="both"/>
        <w:rPr/>
      </w:pPr>
      <w:r>
        <w:rPr/>
        <w:tab/>
        <w:t>“</w:t>
      </w:r>
      <w:r>
        <w:rPr>
          <w:u w:val="single"/>
        </w:rPr>
        <w:t>Regular Maturity Date</w:t>
      </w:r>
      <w:r>
        <w:rPr/>
        <w:t>” means September 1, 2001 or any extension made pursuant to this Agreement.</w:t>
      </w:r>
    </w:p>
    <w:p>
      <w:pPr>
        <w:pStyle w:val="Normal"/>
        <w:jc w:val="both"/>
        <w:rPr/>
      </w:pPr>
      <w:r>
        <w:rPr/>
      </w:r>
    </w:p>
    <w:p>
      <w:pPr>
        <w:pStyle w:val="Normal"/>
        <w:jc w:val="both"/>
        <w:rPr/>
      </w:pPr>
      <w:r>
        <w:rPr/>
        <w:tab/>
        <w:t>“</w:t>
      </w:r>
      <w:r>
        <w:rPr>
          <w:u w:val="single"/>
        </w:rPr>
        <w:t>Vice President</w:t>
      </w:r>
      <w:r>
        <w:rPr/>
        <w:t xml:space="preserve">” means any vice president, whether or not designated by a number or a word or words added before or after the title “vice president.” </w:t>
      </w:r>
    </w:p>
    <w:p>
      <w:pPr>
        <w:pStyle w:val="Normal"/>
        <w:jc w:val="both"/>
        <w:rPr/>
      </w:pPr>
      <w:r>
        <w:rPr/>
      </w:r>
    </w:p>
    <w:p>
      <w:pPr>
        <w:pStyle w:val="Normal"/>
        <w:ind w:firstLine="720" w:end="0"/>
        <w:jc w:val="both"/>
        <w:rPr/>
      </w:pPr>
      <w:r>
        <w:rPr/>
        <w:t xml:space="preserve">Section 1.02.  </w:t>
      </w:r>
      <w:r>
        <w:rPr>
          <w:u w:val="single"/>
        </w:rPr>
        <w:t>Interpretation of Definitions</w:t>
      </w:r>
      <w:r>
        <w:rPr/>
        <w:t>.  All definitions in the singular shall, unless the context specifies otherwise, include and mean the plural, and all references to the masculine gender shall include the feminine; and vice versa.</w:t>
      </w:r>
    </w:p>
    <w:p>
      <w:pPr>
        <w:pStyle w:val="Normal"/>
        <w:jc w:val="both"/>
        <w:rPr/>
      </w:pPr>
      <w:r>
        <w:rPr/>
        <w:tab/>
      </w:r>
    </w:p>
    <w:p>
      <w:pPr>
        <w:pStyle w:val="Normal"/>
        <w:jc w:val="both"/>
        <w:rPr/>
      </w:pPr>
      <w:r>
        <w:rPr/>
        <w:tab/>
        <w:t xml:space="preserve">Section 1.03.  </w:t>
      </w:r>
      <w:r>
        <w:rPr>
          <w:u w:val="single"/>
        </w:rPr>
        <w:t>Accounting Terms</w:t>
      </w:r>
      <w:r>
        <w:rPr/>
        <w:t>.  All accounting terms not specifically defined herein shall be construed in accordance with generally accepted accounting principles consistent with those applied in the preparation of Enron’s and/or enovate’s financial statements, and any financial data submitted pursuant to this Agreement shall be prepared in accordance with such principles.</w:t>
      </w:r>
    </w:p>
    <w:p>
      <w:pPr>
        <w:pStyle w:val="Normal"/>
        <w:rPr/>
      </w:pPr>
      <w:r>
        <w:rPr/>
      </w:r>
    </w:p>
    <w:p>
      <w:pPr>
        <w:pStyle w:val="Heading2"/>
        <w:ind w:start="0" w:end="0"/>
        <w:rPr/>
      </w:pPr>
      <w:r>
        <w:rPr/>
        <w:t>ARTICLE II</w:t>
      </w:r>
    </w:p>
    <w:p>
      <w:pPr>
        <w:pStyle w:val="Normal"/>
        <w:jc w:val="center"/>
        <w:rPr>
          <w:u w:val="single"/>
        </w:rPr>
      </w:pPr>
      <w:r>
        <w:rPr>
          <w:u w:val="single"/>
        </w:rPr>
        <w:t>CONCERNING THE LOANS</w:t>
      </w:r>
    </w:p>
    <w:p>
      <w:pPr>
        <w:pStyle w:val="Normal"/>
        <w:ind w:firstLine="720" w:end="0"/>
        <w:jc w:val="both"/>
        <w:rPr>
          <w:u w:val="single"/>
        </w:rPr>
      </w:pPr>
      <w:r>
        <w:rPr>
          <w:u w:val="single"/>
        </w:rPr>
      </w:r>
    </w:p>
    <w:p>
      <w:pPr>
        <w:pStyle w:val="Normal"/>
        <w:ind w:firstLine="720" w:end="0"/>
        <w:jc w:val="both"/>
        <w:rPr/>
      </w:pPr>
      <w:r>
        <w:rPr/>
        <w:t xml:space="preserve">Section 2.01.  </w:t>
      </w:r>
      <w:r>
        <w:rPr>
          <w:u w:val="single"/>
        </w:rPr>
        <w:t>The Loan</w:t>
      </w:r>
      <w:r>
        <w:rPr/>
        <w:t>.  Enron may, from time to time, request and enovate may, in its sole discretion, agree to make a Loan in Dollars during the period from the date on which the first advance is made to and including the Final Maturity Date, on the terms and conditions hereinafter set forth, in an aggregate principal amount outstanding at any time during such period not to exceed the amount of the Credit, which is $20,000,000. During the term of the Credit, enovate, at its option without penalty or premium, may from time to time retrieve from Enron all or any part of the Loan as provided in Section 2.07 hereof.</w:t>
      </w:r>
      <w:r>
        <w:rPr>
          <w:b/>
        </w:rPr>
        <w:t xml:space="preserve"> </w:t>
      </w:r>
    </w:p>
    <w:p>
      <w:pPr>
        <w:pStyle w:val="Normal"/>
        <w:ind w:firstLine="720" w:end="0"/>
        <w:jc w:val="both"/>
        <w:rPr/>
      </w:pPr>
      <w:r>
        <w:rPr/>
      </w:r>
    </w:p>
    <w:p>
      <w:pPr>
        <w:pStyle w:val="Normal"/>
        <w:ind w:firstLine="720" w:end="0"/>
        <w:jc w:val="both"/>
        <w:rPr/>
      </w:pPr>
      <w:r>
        <w:rPr/>
        <w:t xml:space="preserve">Section 2.02.  </w:t>
      </w:r>
      <w:r>
        <w:rPr>
          <w:u w:val="single"/>
        </w:rPr>
        <w:t>Interest on the Loan</w:t>
      </w:r>
      <w:r>
        <w:rPr/>
        <w:t xml:space="preserve">.  The Loan hereunder shall bear interest commencing on the date the Loan is advanced, continued, or created by conversion and ending on the Final Maturity Date.  Daily interest at the Base Rate on the outstanding balance of the Loan shall be determined as of the close of each Business Day and an advice therefor showing the outstanding balance of the Loan and the interest thereon shall be rendered to, and shall be due and payable by Enron, periodically as mutually agreed but not less frequently than monthly on the first Business Day of each month.  </w:t>
      </w:r>
    </w:p>
    <w:p>
      <w:pPr>
        <w:pStyle w:val="Normal"/>
        <w:ind w:firstLine="720" w:end="0"/>
        <w:jc w:val="both"/>
        <w:rPr/>
      </w:pPr>
      <w:r>
        <w:rPr/>
      </w:r>
    </w:p>
    <w:p>
      <w:pPr>
        <w:pStyle w:val="Normal"/>
        <w:ind w:firstLine="720" w:end="0"/>
        <w:jc w:val="both"/>
        <w:rPr/>
      </w:pPr>
      <w:r>
        <w:rPr/>
        <w:t xml:space="preserve">Section 2.03.  </w:t>
      </w:r>
      <w:r>
        <w:rPr>
          <w:u w:val="single"/>
        </w:rPr>
        <w:t>The Note</w:t>
      </w:r>
      <w:r>
        <w:rPr/>
        <w:t>.  Enron’s obligation to repay the outstanding balance of the Loan shall be evidenced by the Note, dated the date on which the first advance is made.    Upon payment in full of the Note and all interest thereon and any other charges due thereunder or hereunder on the Final Maturity Date, enovate shall promptly return such Note to Enron.</w:t>
      </w:r>
    </w:p>
    <w:p>
      <w:pPr>
        <w:pStyle w:val="Normal"/>
        <w:ind w:firstLine="720" w:end="0"/>
        <w:jc w:val="both"/>
        <w:rPr/>
      </w:pPr>
      <w:r>
        <w:rPr/>
      </w:r>
    </w:p>
    <w:p>
      <w:pPr>
        <w:pStyle w:val="Normal"/>
        <w:ind w:firstLine="720" w:end="0"/>
        <w:jc w:val="both"/>
        <w:rPr/>
      </w:pPr>
      <w:r>
        <w:rPr/>
        <w:t xml:space="preserve">Section 2.04.  </w:t>
      </w:r>
      <w:r>
        <w:rPr>
          <w:u w:val="single"/>
        </w:rPr>
        <w:t>Expenses</w:t>
      </w:r>
      <w:r>
        <w:rPr/>
        <w:t>.  Enron shall pay monthly in arrears to enovate the amount of enovate’s or its agents’ actual and reasonable allocated costs and expenses incurred pursuant to this Agreement.  enovate shall submit to Enron a detailed monthly statement for such costs and expenses, which shall be payable by Enron upon receipt.</w:t>
      </w:r>
    </w:p>
    <w:p>
      <w:pPr>
        <w:pStyle w:val="Normal"/>
        <w:ind w:firstLine="720" w:end="0"/>
        <w:jc w:val="both"/>
        <w:rPr/>
      </w:pPr>
      <w:r>
        <w:rPr/>
      </w:r>
    </w:p>
    <w:p>
      <w:pPr>
        <w:pStyle w:val="Normal"/>
        <w:ind w:firstLine="720" w:end="0"/>
        <w:jc w:val="both"/>
        <w:rPr/>
      </w:pPr>
      <w:r>
        <w:rPr/>
        <w:t xml:space="preserve">Section 2.05.  </w:t>
      </w:r>
      <w:r>
        <w:rPr>
          <w:u w:val="single"/>
        </w:rPr>
        <w:t>Repayment</w:t>
      </w:r>
      <w:r>
        <w:rPr/>
        <w:t>.  All repayments and prepayments by Enron of principal and all payments by Enron of interest, and all other sums due under the Note or this Agreement shall be made without deduction, setoff, abatement, suspension, deferment, defense, or counterclaim, on or before the due date of repayment or payment, and shall be made in Dollars in immediately available funds at Chicago, Illinois, or at such other place as enovate may hereafter designate.  All payments received from Enron shall be applied as follows:  first, to the payment of all payments due hereunder or under the Note other than principal and interest on the Loan; second, to the payment of interest due on the Loan; and third, to the repayment of principal due on the Loan.</w:t>
      </w:r>
    </w:p>
    <w:p>
      <w:pPr>
        <w:pStyle w:val="Normal"/>
        <w:ind w:firstLine="720" w:end="0"/>
        <w:jc w:val="both"/>
        <w:rPr/>
      </w:pPr>
      <w:r>
        <w:rPr/>
      </w:r>
    </w:p>
    <w:p>
      <w:pPr>
        <w:pStyle w:val="Normal"/>
        <w:ind w:firstLine="720" w:end="0"/>
        <w:jc w:val="both"/>
        <w:rPr/>
      </w:pPr>
      <w:r>
        <w:rPr/>
        <w:t xml:space="preserve">Section 2.06.  </w:t>
      </w:r>
      <w:r>
        <w:rPr>
          <w:u w:val="single"/>
        </w:rPr>
        <w:t>Optional Prepayments</w:t>
      </w:r>
      <w:r>
        <w:rPr/>
        <w:t>.  Enron, at its option, may prepay all or any part of the Loan from time to time without penalty or premium, upon at least three (3) Business Days’ prior notice (which, if oral, shall be confirmed promptly in writing) to enovate.  enovate, at its option, may waive such notice requirements as to any prepayment.</w:t>
      </w:r>
    </w:p>
    <w:p>
      <w:pPr>
        <w:pStyle w:val="Normal"/>
        <w:jc w:val="both"/>
        <w:rPr/>
      </w:pPr>
      <w:r>
        <w:rPr/>
      </w:r>
    </w:p>
    <w:p>
      <w:pPr>
        <w:pStyle w:val="Normal"/>
        <w:ind w:firstLine="720" w:end="0"/>
        <w:jc w:val="both"/>
        <w:rPr/>
      </w:pPr>
      <w:r>
        <w:rPr/>
        <w:t xml:space="preserve">Section 2.07.  </w:t>
      </w:r>
      <w:r>
        <w:rPr>
          <w:u w:val="single"/>
        </w:rPr>
        <w:t>Optional Retrievals</w:t>
      </w:r>
      <w:r>
        <w:rPr/>
        <w:t>.  enovate, at its option, may retrieve all or any part of the Loan from time to time without penalty or premium, upon at least three (3) Business Days’ prior notice (which, if oral, shall be confirmed promptly in writing) to Enron.  Enron, at its option, may waive such notice requirements as to any retrieval.</w:t>
      </w:r>
    </w:p>
    <w:p>
      <w:pPr>
        <w:pStyle w:val="Normal"/>
        <w:ind w:firstLine="720" w:end="0"/>
        <w:jc w:val="both"/>
        <w:rPr/>
      </w:pPr>
      <w:r>
        <w:rPr/>
      </w:r>
    </w:p>
    <w:p>
      <w:pPr>
        <w:pStyle w:val="Normal"/>
        <w:ind w:firstLine="720" w:end="0"/>
        <w:jc w:val="both"/>
        <w:rPr/>
      </w:pPr>
      <w:r>
        <w:rPr/>
        <w:t xml:space="preserve">Section 2.08.  </w:t>
      </w:r>
      <w:r>
        <w:rPr>
          <w:u w:val="single"/>
        </w:rPr>
        <w:t>Use of Loan Proceeds</w:t>
      </w:r>
      <w:r>
        <w:rPr/>
        <w:t>.  The proceeds of the Loan may be used by Enron for any lawful corporate purpose.</w:t>
      </w:r>
    </w:p>
    <w:p>
      <w:pPr>
        <w:pStyle w:val="Normal"/>
        <w:ind w:firstLine="720" w:end="0"/>
        <w:jc w:val="both"/>
        <w:rPr/>
      </w:pPr>
      <w:r>
        <w:rPr/>
      </w:r>
    </w:p>
    <w:p>
      <w:pPr>
        <w:pStyle w:val="Normal"/>
        <w:ind w:firstLine="720" w:end="0"/>
        <w:jc w:val="both"/>
        <w:rPr/>
      </w:pPr>
      <w:r>
        <w:rPr/>
        <w:t xml:space="preserve">Section 2.09.  </w:t>
      </w:r>
      <w:r>
        <w:rPr>
          <w:u w:val="single"/>
        </w:rPr>
        <w:t>Automatic Extension of Regular Maturity Date</w:t>
      </w:r>
      <w:r>
        <w:rPr/>
        <w:t>. If, on or before the day which is ten (10) Business Days’ prior to the then Regular Maturity Date of this Agreement, neither of the parties to this Agreement shall have given notice to the other party that it wishes this Agreement to expire on said Regular Maturity Date, then said Regular Maturity Date shall be deemed to have been extended automatically for one additional year.</w:t>
      </w:r>
    </w:p>
    <w:p>
      <w:pPr>
        <w:pStyle w:val="Normal"/>
        <w:ind w:firstLine="720" w:end="-1080"/>
        <w:rPr/>
      </w:pPr>
      <w:r>
        <w:rPr/>
      </w:r>
    </w:p>
    <w:p>
      <w:pPr>
        <w:pStyle w:val="Heading2"/>
        <w:ind w:start="0" w:end="0"/>
        <w:rPr/>
      </w:pPr>
      <w:r>
        <w:rPr/>
        <w:t>ARTICLE III</w:t>
      </w:r>
    </w:p>
    <w:p>
      <w:pPr>
        <w:pStyle w:val="Heading2"/>
        <w:ind w:start="0" w:end="0"/>
        <w:rPr/>
      </w:pPr>
      <w:r>
        <w:rPr/>
        <w:t>TERMINATION</w:t>
      </w:r>
    </w:p>
    <w:p>
      <w:pPr>
        <w:pStyle w:val="Normal"/>
        <w:jc w:val="both"/>
        <w:rPr/>
      </w:pPr>
      <w:r>
        <w:rPr/>
      </w:r>
    </w:p>
    <w:p>
      <w:pPr>
        <w:pStyle w:val="Normal"/>
        <w:jc w:val="both"/>
        <w:rPr/>
      </w:pPr>
      <w:r>
        <w:rPr/>
        <w:tab/>
        <w:t xml:space="preserve">Section 3.01  </w:t>
      </w:r>
      <w:r>
        <w:rPr>
          <w:u w:val="single"/>
        </w:rPr>
        <w:t>Termination of Agreement</w:t>
      </w:r>
      <w:r>
        <w:rPr/>
        <w:t>.  Anything in this Agreement or the Note to the contrary notwithstanding, if any of the following events shall occur and be continuing, enovate, at its option and in addition to any other rights and remedies enovate may have hereunder, at law or in equity, shall have the right to cease making advances under the Credit, to terminate this Agreement and/or to make the outstanding principal amount of the Loan and interest thereon and any other sums due under the Note and this Agreement immediately due and payable upon written or oral notice to Enron, but without the requirement of any further or other notice, demand or presentment of the Note for payment:</w:t>
      </w:r>
    </w:p>
    <w:p>
      <w:pPr>
        <w:pStyle w:val="Normal"/>
        <w:jc w:val="both"/>
        <w:rPr/>
      </w:pPr>
      <w:r>
        <w:rPr/>
      </w:r>
    </w:p>
    <w:p>
      <w:pPr>
        <w:pStyle w:val="Normal"/>
        <w:numPr>
          <w:ilvl w:val="0"/>
          <w:numId w:val="2"/>
        </w:numPr>
        <w:ind w:firstLine="720" w:start="0" w:end="0"/>
        <w:jc w:val="both"/>
        <w:rPr/>
      </w:pPr>
      <w:r>
        <w:rPr/>
        <w:t>Enron or any of its subsidiaries shall fail to pay any Indebtedness in excess of $15,000,000 owing by Enron or any of its subsidiaries when due or within any grace period applicable thereto, whether such Indebtedness shall become due by scheduled maturity, by required prepayment, by acceleration, by demand or otherwise; or Enron or any of its subsidiaries shall fail to perform any term, covenant or agreement on its part to be performed under any agreement or instrument evidencing or securing or relating to any Indebtedness owing by Enron or any of its subsidiaries when required to be performed, if the effect of such failure is to accelerate, or to permit the holder or holders of such Indebtedness or the trustee or trustees under any such agreement or instrument to accelerate, the maturity of such Indebtedness;</w:t>
      </w:r>
    </w:p>
    <w:p>
      <w:pPr>
        <w:pStyle w:val="Normal"/>
        <w:jc w:val="both"/>
        <w:rPr/>
      </w:pPr>
      <w:r>
        <w:rPr/>
      </w:r>
    </w:p>
    <w:p>
      <w:pPr>
        <w:pStyle w:val="Normal"/>
        <w:tabs>
          <w:tab w:val="clear" w:pos="720"/>
          <w:tab w:val="left" w:pos="1800" w:leader="none"/>
        </w:tabs>
        <w:ind w:firstLine="720" w:end="0"/>
        <w:jc w:val="both"/>
        <w:rPr/>
      </w:pPr>
      <w:r>
        <w:rPr/>
        <w:t>b)</w:t>
        <w:tab/>
        <w:t>default in the payment when due of the principal of any Loan or in the payment when due of any interest or other obligation owed hereunder;</w:t>
      </w:r>
    </w:p>
    <w:p>
      <w:pPr>
        <w:pStyle w:val="Normal"/>
        <w:jc w:val="both"/>
        <w:rPr/>
      </w:pPr>
      <w:r>
        <w:rPr/>
      </w:r>
    </w:p>
    <w:p>
      <w:pPr>
        <w:pStyle w:val="Normal"/>
        <w:tabs>
          <w:tab w:val="left" w:pos="720" w:leader="none"/>
          <w:tab w:val="left" w:pos="1800" w:leader="none"/>
          <w:tab w:val="left" w:pos="1980" w:leader="none"/>
        </w:tabs>
        <w:jc w:val="both"/>
        <w:rPr/>
      </w:pPr>
      <w:r>
        <w:rPr/>
        <w:tab/>
        <w:t>c)</w:t>
        <w:tab/>
        <w:t>any covenant, representation or warranty made herein or in the Note by Enron proves untrue in any material respect as of the date of the issuance or making, or deemed making or issuance, thereof;</w:t>
      </w:r>
    </w:p>
    <w:p>
      <w:pPr>
        <w:pStyle w:val="Normal"/>
        <w:jc w:val="both"/>
        <w:rPr/>
      </w:pPr>
      <w:r>
        <w:rPr/>
      </w:r>
    </w:p>
    <w:p>
      <w:pPr>
        <w:pStyle w:val="BodyTextIndent"/>
        <w:rPr/>
      </w:pPr>
      <w:r>
        <w:rPr/>
        <w:t>d)</w:t>
        <w:tab/>
        <w:t xml:space="preserve">this Agreement or the Note shall at any time for any reason cease to be in full force and effect or shall be declared to be null and void while the Note is outstanding hereunder, or the validity or enforceability of this Agreement or the Note shall be contested by any Person, or Enron shall deny that it has any or further liability or obligation hereunder and thereunder; or </w:t>
      </w:r>
    </w:p>
    <w:p>
      <w:pPr>
        <w:pStyle w:val="Normal"/>
        <w:jc w:val="both"/>
        <w:rPr/>
      </w:pPr>
      <w:r>
        <w:rPr/>
      </w:r>
    </w:p>
    <w:p>
      <w:pPr>
        <w:pStyle w:val="BodyTextIndent"/>
        <w:tabs>
          <w:tab w:val="left" w:pos="1800" w:leader="none"/>
          <w:tab w:val="left" w:pos="2340" w:leader="none"/>
        </w:tabs>
        <w:rPr/>
      </w:pPr>
      <w:r>
        <w:rPr/>
        <w:t>e)</w:t>
        <w:tab/>
        <w:t>Enron or any of its subsidiaries shall have entered against it an order for relief as a bankrupt or insolvent, or admit in writing its inability to pay its debts as they mature, or make an assignment for the benefit of its creditors; or Enron or any of its subsidiaries shall apply for or consent to the appointment of any receiver, trustee, custodian, sequestrator, assignee for the benefit of creditors or similar officer for it or any such person shall be appointed without the application or consent of Enron or any subsidiary and such appointment shall continue unstayed or undischarged for a period of 60 days; or Enron or any of its subsidiaries shall institute (by petition, application, answer, consent or otherwise) any bankruptcy, insolvency, reorganization, arrangement, readjustment of debt, dissolution, liquidation or similar proceedings relating to it under the laws of any jurisdiction; or any such proceedings shall be instituted (by petition, application or otherwise) against Enron or any of its subsidiaries and shall remain unstayed or attachment or execution or similar process shall be issued or levied against a substantial part of the property of Enron or any of its subsidiaries and such judgment, writ, or similar process shall not be released, stayed, vacated or fully bonded within  30 days after its issue or levy.</w:t>
      </w:r>
    </w:p>
    <w:p>
      <w:pPr>
        <w:pStyle w:val="Normal"/>
        <w:rPr/>
      </w:pPr>
      <w:r>
        <w:rPr/>
      </w:r>
    </w:p>
    <w:p>
      <w:pPr>
        <w:pStyle w:val="Heading3"/>
        <w:ind w:end="0"/>
        <w:rPr/>
      </w:pPr>
      <w:r>
        <w:rPr/>
        <w:t>ARTICLE IV</w:t>
      </w:r>
    </w:p>
    <w:p>
      <w:pPr>
        <w:pStyle w:val="Heading5"/>
        <w:ind w:hanging="0" w:start="0"/>
        <w:rPr/>
      </w:pPr>
      <w:r>
        <w:rPr/>
        <w:t>REPRESENTATIONS AND WARRANTIES</w:t>
      </w:r>
    </w:p>
    <w:p>
      <w:pPr>
        <w:pStyle w:val="Normal"/>
        <w:rPr/>
      </w:pPr>
      <w:r>
        <w:rPr/>
      </w:r>
    </w:p>
    <w:p>
      <w:pPr>
        <w:pStyle w:val="Normal"/>
        <w:rPr/>
      </w:pPr>
      <w:r>
        <w:rPr/>
        <w:tab/>
        <w:t xml:space="preserve">Section 4.01  </w:t>
      </w:r>
      <w:r>
        <w:rPr>
          <w:u w:val="single"/>
        </w:rPr>
        <w:t>Corporate Organization and Authority</w:t>
      </w:r>
      <w:r>
        <w:rPr/>
        <w:t>.  Enron represents and warrants that it is duly organized and existing in good standing under the laws of the State of Oregon,  has all necessary corporate power to carry on its present business; and is duly licensed or qualified and in good standing in each jurisdiction in which the failure to be so licensed, qualified or in good standing would have a Material Adverse Effect.</w:t>
      </w:r>
    </w:p>
    <w:p>
      <w:pPr>
        <w:pStyle w:val="Normal"/>
        <w:rPr/>
      </w:pPr>
      <w:r>
        <w:rPr/>
      </w:r>
    </w:p>
    <w:p>
      <w:pPr>
        <w:pStyle w:val="Normal"/>
        <w:rPr/>
      </w:pPr>
      <w:r>
        <w:rPr/>
        <w:tab/>
        <w:t xml:space="preserve">Section 4.02.  </w:t>
      </w:r>
      <w:r>
        <w:rPr>
          <w:u w:val="single"/>
        </w:rPr>
        <w:t>Corporate Authority and Validity of Obligations</w:t>
      </w:r>
      <w:r>
        <w:rPr/>
        <w:t>.  Enron represents and warrants that it has full right and authority to enter into this Agreement, to make the borrowings herein provided for, to issue the Note in evidence thereof, and to perform all of its obligations under this Agreement. The Agreement has been duly authorized, executed and delivered by Enron and constitutes the valid and binding obligation of Enron enforceable in accordance with its terms, except as such enforceability may be limited by bankruptcy, insolvency, reorganization, moratorium or similar laws affecting the enforceability of creditors' rights generally and by equitable principles of general applicability (regardless of whether such enforceability is considered in a proceeding in equity or at law). Neither this Agreement, nor the performance or observance by Enron of any of the matters or things therein provided for, contravenes any provision of law or any charter or by-law provision of Enron or any material contractual obligation of or affecting Enron.</w:t>
      </w:r>
    </w:p>
    <w:p>
      <w:pPr>
        <w:pStyle w:val="Normal"/>
        <w:rPr/>
      </w:pPr>
      <w:r>
        <w:rPr/>
      </w:r>
    </w:p>
    <w:p>
      <w:pPr>
        <w:pStyle w:val="Normal"/>
        <w:rPr/>
      </w:pPr>
      <w:r>
        <w:rPr/>
        <w:tab/>
        <w:t xml:space="preserve">Section 4.03.  </w:t>
      </w:r>
      <w:r>
        <w:rPr>
          <w:u w:val="single"/>
        </w:rPr>
        <w:t>Approvals</w:t>
      </w:r>
      <w:r>
        <w:rPr/>
        <w:t>.  Enron represents and warrants that no authorization, consent, license, exemption, filing or registration with any court or governmental department, agency or instrumentality, nor any approval or consent of the stockholders of Enron or from any other Person, is necessary for the valid execution, delivery or performance by Enron of under this Agreement.</w:t>
      </w:r>
    </w:p>
    <w:p>
      <w:pPr>
        <w:pStyle w:val="Normal"/>
        <w:rPr/>
      </w:pPr>
      <w:r>
        <w:rPr/>
      </w:r>
    </w:p>
    <w:p>
      <w:pPr>
        <w:pStyle w:val="Normal"/>
        <w:jc w:val="center"/>
        <w:rPr/>
      </w:pPr>
      <w:r>
        <w:rPr/>
        <w:t>ARTICLE V</w:t>
      </w:r>
    </w:p>
    <w:p>
      <w:pPr>
        <w:pStyle w:val="Normal"/>
        <w:jc w:val="center"/>
        <w:rPr/>
      </w:pPr>
      <w:r>
        <w:rPr/>
        <w:t>COVENANT</w:t>
      </w:r>
    </w:p>
    <w:p>
      <w:pPr>
        <w:pStyle w:val="Normal"/>
        <w:rPr/>
      </w:pPr>
      <w:r>
        <w:rPr/>
      </w:r>
    </w:p>
    <w:p>
      <w:pPr>
        <w:pStyle w:val="Normal"/>
        <w:rPr/>
      </w:pPr>
      <w:r>
        <w:rPr/>
        <w:tab/>
        <w:t xml:space="preserve">Section 5.01.  </w:t>
      </w:r>
      <w:r>
        <w:rPr>
          <w:u w:val="single"/>
        </w:rPr>
        <w:t>Mergers and Consolidations</w:t>
      </w:r>
      <w:r>
        <w:rPr/>
        <w:t xml:space="preserve">.  Enron will not consolidate with or be a party to a merger with any other person unless the resulting entity from such consolidation or merger (i) assumes the obligations of this Agreement in a writing reasonably satisfactory to enovate and (ii) has a Consolidated Net Worth, as determined in accordance with generally accepted accounting principles, of not less than 70% of the Consolidated Net Worth of Enron. </w:t>
      </w:r>
    </w:p>
    <w:p>
      <w:pPr>
        <w:pStyle w:val="Heading3"/>
        <w:ind w:end="0"/>
        <w:rPr/>
      </w:pPr>
      <w:r>
        <w:rPr/>
      </w:r>
    </w:p>
    <w:p>
      <w:pPr>
        <w:pStyle w:val="Heading3"/>
        <w:ind w:end="0"/>
        <w:rPr/>
      </w:pPr>
      <w:r>
        <w:rPr/>
        <w:t>ARTICLE VI</w:t>
      </w:r>
    </w:p>
    <w:p>
      <w:pPr>
        <w:pStyle w:val="Heading3"/>
        <w:ind w:end="0"/>
        <w:rPr/>
      </w:pPr>
      <w:r>
        <w:rPr/>
        <w:t>MISCELLANEOUS</w:t>
      </w:r>
    </w:p>
    <w:p>
      <w:pPr>
        <w:pStyle w:val="Normal"/>
        <w:jc w:val="center"/>
        <w:rPr/>
      </w:pPr>
      <w:r>
        <w:rPr/>
      </w:r>
    </w:p>
    <w:p>
      <w:pPr>
        <w:pStyle w:val="Normal"/>
        <w:jc w:val="both"/>
        <w:rPr>
          <w:b/>
        </w:rPr>
      </w:pPr>
      <w:r>
        <w:rPr/>
        <w:tab/>
        <w:t xml:space="preserve">Section 6.01.  </w:t>
      </w:r>
      <w:r>
        <w:rPr>
          <w:u w:val="single"/>
        </w:rPr>
        <w:t>Notices</w:t>
      </w:r>
      <w:r>
        <w:rPr/>
        <w:t>.  Any communications between the parties hereto or notices provided herein to be given may be given by mailing or otherwise delivering the same to the General Manager of enovate with a copy to James A. Burns, Director Assistant Treasurer of Peoples Energy Corporation at 130 East Randolph Drive, 24</w:t>
      </w:r>
      <w:r>
        <w:rPr>
          <w:vertAlign w:val="superscript"/>
        </w:rPr>
        <w:t>th</w:t>
      </w:r>
      <w:r>
        <w:rPr/>
        <w:t xml:space="preserve"> Floor, Chicago, Illinois 60601 and to the Treasurer of Enron at __________________________ , or to such other officers or addresses as either party may in writing hereinafter specify. </w:t>
      </w:r>
    </w:p>
    <w:p>
      <w:pPr>
        <w:pStyle w:val="Normal"/>
        <w:jc w:val="both"/>
        <w:rPr>
          <w:b/>
        </w:rPr>
      </w:pPr>
      <w:r>
        <w:rPr>
          <w:b/>
        </w:rPr>
      </w:r>
    </w:p>
    <w:p>
      <w:pPr>
        <w:pStyle w:val="Normal"/>
        <w:jc w:val="both"/>
        <w:rPr>
          <w:b/>
        </w:rPr>
      </w:pPr>
      <w:r>
        <w:rPr/>
        <w:tab/>
        <w:t xml:space="preserve">Section 6.02  </w:t>
      </w:r>
      <w:r>
        <w:rPr>
          <w:u w:val="single"/>
        </w:rPr>
        <w:t>Agreement Binding; Assignment</w:t>
      </w:r>
      <w:r>
        <w:rPr/>
        <w:t xml:space="preserve">.  This Agreement and the rights, duties and obligations of either party hereunder may be assigned and shall inure to the benefit of the parties hereto and their respective successors and assigns; provided, however, that Enron shall not assign this Agreement or any of the rights, duties or obligations of Enron hereunder without prior the prior written consent of enovate. </w:t>
      </w:r>
    </w:p>
    <w:p>
      <w:pPr>
        <w:pStyle w:val="Normal"/>
        <w:jc w:val="both"/>
        <w:rPr>
          <w:b/>
        </w:rPr>
      </w:pPr>
      <w:r>
        <w:rPr>
          <w:b/>
        </w:rPr>
      </w:r>
    </w:p>
    <w:p>
      <w:pPr>
        <w:pStyle w:val="Normal"/>
        <w:jc w:val="both"/>
        <w:rPr/>
      </w:pPr>
      <w:r>
        <w:rPr/>
        <w:tab/>
        <w:t xml:space="preserve">Section 6.03.  </w:t>
      </w:r>
      <w:r>
        <w:rPr>
          <w:u w:val="single"/>
        </w:rPr>
        <w:t>Default Rate</w:t>
      </w:r>
      <w:r>
        <w:rPr/>
        <w:t>.  If any payment of principal or interest on any Loan is not made when due (whether by acceleration or otherwise), such Loan shall bear interest (computed on the basis of a year of 365 or 366 days, as applicable, and the actual number of days elapsed) from the date such payment was due until paid in full, payable on demand, at a rate per annum equal to the Default Rate.  Enron agrees to pay all reasonable costs and expenses, including without limitation, reasonable attorneys’ fees and court costs, incurred by enovate in the enforcement of this Section 6.03.</w:t>
      </w:r>
    </w:p>
    <w:p>
      <w:pPr>
        <w:pStyle w:val="Normal"/>
        <w:jc w:val="both"/>
        <w:rPr/>
      </w:pPr>
      <w:r>
        <w:rPr/>
      </w:r>
    </w:p>
    <w:p>
      <w:pPr>
        <w:pStyle w:val="Normal"/>
        <w:jc w:val="both"/>
        <w:rPr/>
      </w:pPr>
      <w:r>
        <w:rPr/>
        <w:tab/>
        <w:t xml:space="preserve">Section 6.04.  </w:t>
      </w:r>
      <w:r>
        <w:rPr>
          <w:u w:val="single"/>
        </w:rPr>
        <w:t>Waivers; Remedies Cumulative or Other Instruments Evidencing Indebtedness</w:t>
      </w:r>
      <w:r>
        <w:rPr/>
        <w:t>.  No delay or omission to exercise any right, power or remedy accruing to enovate under this Agreement shall impair any such right, power or remedy of enovate, nor shall it be construed to be a waiver of any such right, power or remedy.  Any waiver, permit, consent or approval of any kind or character on the part of enovate of any provision or condition of this Agreement, must be in writing and shall be effective only to the extent in such writing specifically set forth.  All remedies, either under this Agreement or by law or otherwise afforded to enovate, shall be cumulative and not alternative.</w:t>
      </w:r>
    </w:p>
    <w:p>
      <w:pPr>
        <w:pStyle w:val="Normal"/>
        <w:jc w:val="both"/>
        <w:rPr/>
      </w:pPr>
      <w:r>
        <w:rPr/>
      </w:r>
    </w:p>
    <w:p>
      <w:pPr>
        <w:pStyle w:val="Normal"/>
        <w:jc w:val="both"/>
        <w:rPr/>
      </w:pPr>
      <w:r>
        <w:rPr/>
        <w:tab/>
        <w:t xml:space="preserve">Section 6.05.  </w:t>
      </w:r>
      <w:r>
        <w:rPr>
          <w:u w:val="single"/>
        </w:rPr>
        <w:t>Governing Law</w:t>
      </w:r>
      <w:r>
        <w:rPr/>
        <w:t>.  This Agreement, the Note and any other instrument or agreement required hereunder, shall be governed by, and construed under, the laws of the State of Illinois .</w:t>
      </w:r>
    </w:p>
    <w:p>
      <w:pPr>
        <w:pStyle w:val="Normal"/>
        <w:jc w:val="both"/>
        <w:rPr/>
      </w:pPr>
      <w:r>
        <w:rPr/>
      </w:r>
    </w:p>
    <w:p>
      <w:pPr>
        <w:pStyle w:val="Normal"/>
        <w:jc w:val="both"/>
        <w:rPr/>
      </w:pPr>
      <w:r>
        <w:rPr/>
        <w:tab/>
        <w:t xml:space="preserve">Section 6.06.  </w:t>
      </w:r>
      <w:r>
        <w:rPr>
          <w:u w:val="single"/>
        </w:rPr>
        <w:t>Counterparts</w:t>
      </w:r>
      <w:r>
        <w:rPr/>
        <w:t>.  This Agreement may be executed in as many counterparts as may be deemed necessary or convenient, all of which, when executed, shall be deemed an original, but all such counterparts shall constitute but one and the same instrument.</w:t>
      </w:r>
    </w:p>
    <w:p>
      <w:pPr>
        <w:pStyle w:val="Normal"/>
        <w:jc w:val="both"/>
        <w:rPr/>
      </w:pPr>
      <w:r>
        <w:rPr/>
      </w:r>
    </w:p>
    <w:p>
      <w:pPr>
        <w:pStyle w:val="Normal"/>
        <w:jc w:val="both"/>
        <w:rPr/>
      </w:pPr>
      <w:r>
        <w:rPr/>
        <w:tab/>
        <w:tab/>
        <w:t>IN WITNESS WHEREOF, the parties hereto have executed this Agreement by their duly authorized officers, as of the date first above written.</w:t>
      </w:r>
    </w:p>
    <w:p>
      <w:pPr>
        <w:pStyle w:val="Normal"/>
        <w:jc w:val="both"/>
        <w:rPr/>
      </w:pPr>
      <w:r>
        <w:rPr/>
      </w:r>
    </w:p>
    <w:p>
      <w:pPr>
        <w:pStyle w:val="Normal"/>
        <w:jc w:val="both"/>
        <w:rPr>
          <w:b/>
        </w:rPr>
      </w:pPr>
      <w:r>
        <w:rPr>
          <w:b/>
        </w:rPr>
        <w:t>Enron Corp.</w:t>
      </w:r>
    </w:p>
    <w:p>
      <w:pPr>
        <w:pStyle w:val="Normal"/>
        <w:jc w:val="both"/>
        <w:rPr>
          <w:b/>
        </w:rPr>
      </w:pPr>
      <w:r>
        <w:rPr>
          <w:b/>
        </w:rPr>
      </w:r>
    </w:p>
    <w:p>
      <w:pPr>
        <w:pStyle w:val="Normal"/>
        <w:jc w:val="both"/>
        <w:rPr/>
      </w:pPr>
      <w:r>
        <w:rPr/>
        <w:t>By_______________________________</w:t>
      </w:r>
    </w:p>
    <w:p>
      <w:pPr>
        <w:pStyle w:val="Normal"/>
        <w:jc w:val="both"/>
        <w:rPr/>
      </w:pPr>
      <w:r>
        <w:rPr/>
        <w:t xml:space="preserve">    </w:t>
      </w:r>
      <w:r>
        <w:rPr/>
        <w:t>Name: __________________</w:t>
      </w:r>
    </w:p>
    <w:p>
      <w:pPr>
        <w:pStyle w:val="Normal"/>
        <w:jc w:val="both"/>
        <w:rPr/>
      </w:pPr>
      <w:r>
        <w:rPr/>
        <w:t xml:space="preserve">    </w:t>
      </w:r>
      <w:r>
        <w:rPr/>
        <w:t xml:space="preserve">Title: ____________________ </w:t>
      </w:r>
    </w:p>
    <w:p>
      <w:pPr>
        <w:pStyle w:val="Normal"/>
        <w:jc w:val="both"/>
        <w:rPr/>
      </w:pPr>
      <w:r>
        <w:rPr/>
      </w:r>
    </w:p>
    <w:p>
      <w:pPr>
        <w:pStyle w:val="Normal"/>
        <w:jc w:val="both"/>
        <w:rPr>
          <w:b/>
        </w:rPr>
      </w:pPr>
      <w:r>
        <w:rPr>
          <w:b/>
        </w:rPr>
        <w:t xml:space="preserve">enovate, L.L.C. </w:t>
      </w:r>
    </w:p>
    <w:p>
      <w:pPr>
        <w:pStyle w:val="Normal"/>
        <w:jc w:val="both"/>
        <w:rPr/>
      </w:pPr>
      <w:r>
        <w:rPr/>
      </w:r>
    </w:p>
    <w:p>
      <w:pPr>
        <w:pStyle w:val="Normal"/>
        <w:jc w:val="both"/>
        <w:rPr/>
      </w:pPr>
      <w:r>
        <w:rPr/>
        <w:t>By_______________________________</w:t>
      </w:r>
    </w:p>
    <w:p>
      <w:pPr>
        <w:pStyle w:val="Normal"/>
        <w:jc w:val="both"/>
        <w:rPr/>
      </w:pPr>
      <w:r>
        <w:rPr/>
        <w:t xml:space="preserve">    </w:t>
      </w:r>
      <w:r>
        <w:rPr/>
        <w:t xml:space="preserve">Name: __________________________ </w:t>
      </w:r>
    </w:p>
    <w:p>
      <w:pPr>
        <w:pStyle w:val="Normal"/>
        <w:jc w:val="both"/>
        <w:rPr/>
      </w:pPr>
      <w:r>
        <w:rPr/>
        <w:t xml:space="preserve">    </w:t>
      </w:r>
      <w:r>
        <w:rPr/>
        <w:t xml:space="preserve">Title: ____________________________ </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jc w:val="both"/>
        <w:rPr/>
      </w:pPr>
      <w:r>
        <w:rPr/>
      </w:r>
    </w:p>
    <w:p>
      <w:pPr>
        <w:pStyle w:val="Normal"/>
        <w:ind w:hanging="720" w:end="0"/>
        <w:jc w:val="center"/>
        <w:rPr>
          <w:b/>
        </w:rPr>
      </w:pPr>
      <w:r>
        <w:rPr>
          <w:b/>
        </w:rPr>
        <w:t>EXHIBIT “A”</w:t>
      </w:r>
    </w:p>
    <w:p>
      <w:pPr>
        <w:pStyle w:val="Normal"/>
        <w:ind w:hanging="720" w:end="0"/>
        <w:jc w:val="center"/>
        <w:rPr>
          <w:b/>
        </w:rPr>
      </w:pPr>
      <w:r>
        <w:rPr>
          <w:b/>
        </w:rPr>
        <w:t>ENRON CORP. INTER-COMPANY CREDIT NOTE</w:t>
      </w:r>
    </w:p>
    <w:p>
      <w:pPr>
        <w:pStyle w:val="Normal"/>
        <w:ind w:end="-1080"/>
        <w:rPr>
          <w:b/>
        </w:rPr>
      </w:pPr>
      <w:r>
        <w:rPr>
          <w:b/>
        </w:rPr>
      </w:r>
    </w:p>
    <w:p>
      <w:pPr>
        <w:pStyle w:val="BlockText"/>
        <w:ind w:start="0" w:end="0"/>
        <w:jc w:val="both"/>
        <w:rPr/>
      </w:pPr>
      <w:r>
        <w:rPr/>
        <w:tab/>
        <w:t>ENRON CORP., an Oregon corporation (the “Company”), for value received and in consideration of the execution and delivery by enovate, L.L.C. of that certain Inter-Company Borrowing Agreement, dated as of _______ __, 2001 (the “Agreement”), hereby promises to pay to the order of enovate, L.L.C. on September 1, 2001</w:t>
      </w:r>
      <w:r>
        <w:rPr>
          <w:b/>
        </w:rPr>
        <w:t>]</w:t>
      </w:r>
      <w:r>
        <w:rPr/>
        <w:t xml:space="preserve"> or such other date as shall then be the Final Maturity Date under the Agreement, the principal sum of $20,000,000, or so much thereof may be outstanding hereunder, together with interest thereon at the Base Rate on the principal amount hereof from time to time outstanding.  Such interest shall be calculated daily as of the close of each Business Day, and an advice therefor shall be rendered to, and shall be due and payable by, the Company periodically as mutually agreed by the Company and enovate, L.L.C., but not less frequently than monthly on the first Business Day (as such term is defined in the Agreement) of each month.</w:t>
      </w:r>
    </w:p>
    <w:p>
      <w:pPr>
        <w:pStyle w:val="BlockText"/>
        <w:ind w:start="0" w:end="0"/>
        <w:jc w:val="both"/>
        <w:rPr/>
      </w:pPr>
      <w:r>
        <w:rPr/>
      </w:r>
    </w:p>
    <w:p>
      <w:pPr>
        <w:pStyle w:val="BlockText"/>
        <w:ind w:start="0" w:end="0"/>
        <w:jc w:val="both"/>
        <w:rPr/>
      </w:pPr>
      <w:r>
        <w:rPr/>
        <w:tab/>
        <w:t>This Note is issued by the Company pursuant to the Agreement, to which reference is made for certain terms and conditions applicable hereto.  Defined terms used in this Note shall, unless the context otherwise requires, have the same meanings assigned to them in the Agreement.</w:t>
      </w:r>
    </w:p>
    <w:p>
      <w:pPr>
        <w:pStyle w:val="BlockText"/>
        <w:ind w:start="0" w:end="0"/>
        <w:jc w:val="both"/>
        <w:rPr/>
      </w:pPr>
      <w:r>
        <w:rPr/>
      </w:r>
    </w:p>
    <w:p>
      <w:pPr>
        <w:pStyle w:val="BlockText"/>
        <w:ind w:start="0" w:end="0"/>
        <w:jc w:val="both"/>
        <w:rPr/>
      </w:pPr>
      <w:r>
        <w:rPr/>
        <w:tab/>
        <w:t>Both the principal of this Note and interest hereon are payable in lawful money of the United States of America, which will be immediately available on the day when payment shall become due, at the principal office of enovate, L.L.C. in the city of Chicago, Illinois.  Interest shall be paid on overdue principal hereof and, to the extent legally enforceable, on overdue interest at the Default  Rate as in effect from time to time.</w:t>
      </w:r>
    </w:p>
    <w:p>
      <w:pPr>
        <w:pStyle w:val="BlockText"/>
        <w:ind w:start="0" w:end="0"/>
        <w:jc w:val="both"/>
        <w:rPr/>
      </w:pPr>
      <w:r>
        <w:rPr/>
      </w:r>
    </w:p>
    <w:p>
      <w:pPr>
        <w:pStyle w:val="BlockText"/>
        <w:ind w:start="0" w:end="0"/>
        <w:jc w:val="both"/>
        <w:rPr/>
      </w:pPr>
      <w:r>
        <w:rPr/>
        <w:tab/>
        <w:t xml:space="preserve">The outstanding principal of this Note shall be increased or decreased, </w:t>
      </w:r>
      <w:r>
        <w:rPr>
          <w:u w:val="single"/>
        </w:rPr>
        <w:t>Pro</w:t>
      </w:r>
      <w:r>
        <w:rPr/>
        <w:t xml:space="preserve"> </w:t>
      </w:r>
      <w:r>
        <w:rPr>
          <w:u w:val="single"/>
        </w:rPr>
        <w:t>tanto</w:t>
      </w:r>
      <w:r>
        <w:rPr/>
        <w:t>, upon any increase or decrease in the outstanding aggregate principal amount of the Loan made under the Credit as provided under the terms of Sections 2.01 of the Agreement; provided, however, that at no time shall the outstanding principal amount of this Note exceed $20,000,000.  Upon any such increase or decrease in the principal amount of this Note, enovate, L.L.C. shall cause to be recorded upon the grid portion of this Note the date and amount of such increase or decrease, as the case may be; provided, however, that enovate’s failure to record any the foregoing or any error in such record shall not limit or otherwise affect the obligation of Enron to repay the Loan together with accrued interest thereon.</w:t>
      </w:r>
    </w:p>
    <w:p>
      <w:pPr>
        <w:pStyle w:val="BlockText"/>
        <w:ind w:start="0" w:end="0"/>
        <w:jc w:val="both"/>
        <w:rPr/>
      </w:pPr>
      <w:r>
        <w:rPr/>
      </w:r>
    </w:p>
    <w:p>
      <w:pPr>
        <w:pStyle w:val="BlockText"/>
        <w:ind w:start="0" w:end="0"/>
        <w:jc w:val="both"/>
        <w:rPr/>
      </w:pPr>
      <w:r>
        <w:rPr/>
        <w:tab/>
        <w:t>Upon payment in full of the principal of and interest on this Note and all other sums due from the Company to enovate, L.L.C. under terms of this Note and the Agreement on the Final Maturity Date, this Note shall be canceled and returned to the Company and shall be of no further operation or effect.  The obligation of the Company to make the payments required to be made on this Note and under the Agreement and to perform and observe the other agreements on its part contained herein and therein shall be absolute and unconditional and shall be not subject to diminution by setoff, counterclaim, abatement or otherwise.</w:t>
      </w:r>
    </w:p>
    <w:p>
      <w:pPr>
        <w:pStyle w:val="BlockText"/>
        <w:ind w:start="0" w:end="0"/>
        <w:jc w:val="both"/>
        <w:rPr/>
      </w:pPr>
      <w:r>
        <w:rPr/>
      </w:r>
    </w:p>
    <w:p>
      <w:pPr>
        <w:pStyle w:val="BlockText"/>
        <w:ind w:firstLine="720" w:start="0" w:end="0"/>
        <w:jc w:val="both"/>
        <w:rPr/>
      </w:pPr>
      <w:r>
        <w:rPr/>
        <w:t>In the event this Note is mutilated, lost, stolen or destroyed, Enron shall authenticate and execute a new note of like date and amount as that mutilated, lost, stolen or destroyed; provided that, in the case of any mutilated Note, such mutilated Note, first is surrendered to enovate, and in the case of any lost, stolen or destroyed certificate, there shall be furnished to Enron evidence of such loss, theft or destruction reasonably satisfactory to Enron.</w:t>
      </w:r>
    </w:p>
    <w:p>
      <w:pPr>
        <w:pStyle w:val="BlockText"/>
        <w:ind w:start="0" w:end="0"/>
        <w:jc w:val="both"/>
        <w:rPr/>
      </w:pPr>
      <w:r>
        <w:rPr/>
      </w:r>
    </w:p>
    <w:p>
      <w:pPr>
        <w:pStyle w:val="BlockText"/>
        <w:ind w:start="0" w:end="0"/>
        <w:jc w:val="both"/>
        <w:rPr/>
      </w:pPr>
      <w:r>
        <w:rPr/>
        <w:tab/>
        <w:t>Upon the occurrence of an event giving rise to a right on the part of enovate, L.L.C. to terminate the Agreement, the maturity of this Note may be accelerated and the principal of and interest on and any other sums due from the Company to enovate, L.L.C. under the terms of this Note may be declared immediately due and payable as provided in the Agreement.</w:t>
      </w:r>
    </w:p>
    <w:p>
      <w:pPr>
        <w:pStyle w:val="BlockText"/>
        <w:ind w:start="0" w:end="0"/>
        <w:jc w:val="both"/>
        <w:rPr/>
      </w:pPr>
      <w:r>
        <w:rPr/>
      </w:r>
    </w:p>
    <w:p>
      <w:pPr>
        <w:pStyle w:val="BlockText"/>
        <w:ind w:start="0" w:end="0"/>
        <w:jc w:val="both"/>
        <w:rPr/>
      </w:pPr>
      <w:r>
        <w:rPr/>
        <w:tab/>
        <w:t xml:space="preserve">IN WITNESS WHEREOF, the Company has caused this Note to be duly executed in its name, and its corporate seal to be hereunto affixed and executed in its name, and attested, by its duly authorized officers all as of the </w:t>
      </w:r>
      <w:r>
        <w:rPr>
          <w:b/>
        </w:rPr>
        <w:t>[</w:t>
        <w:tab/>
        <w:tab/>
        <w:t>]</w:t>
      </w:r>
      <w:r>
        <w:rPr/>
        <w:t xml:space="preserve"> day of, 2001.</w:t>
      </w:r>
    </w:p>
    <w:p>
      <w:pPr>
        <w:pStyle w:val="BlockText"/>
        <w:ind w:start="0" w:end="0"/>
        <w:jc w:val="both"/>
        <w:rPr/>
      </w:pPr>
      <w:r>
        <w:rPr/>
      </w:r>
    </w:p>
    <w:p>
      <w:pPr>
        <w:pStyle w:val="BlockText"/>
        <w:rPr/>
      </w:pPr>
      <w:r>
        <w:rPr/>
        <w:tab/>
        <w:tab/>
        <w:tab/>
        <w:tab/>
        <w:tab/>
        <w:t xml:space="preserve">ENRON CORP. </w:t>
      </w:r>
    </w:p>
    <w:p>
      <w:pPr>
        <w:pStyle w:val="BlockText"/>
        <w:rPr/>
      </w:pPr>
      <w:r>
        <w:rPr/>
      </w:r>
    </w:p>
    <w:p>
      <w:pPr>
        <w:pStyle w:val="BlockText"/>
        <w:rPr/>
      </w:pPr>
      <w:r>
        <w:rPr/>
        <w:tab/>
        <w:tab/>
        <w:tab/>
        <w:tab/>
        <w:tab/>
        <w:t>By:____________________________________</w:t>
      </w:r>
    </w:p>
    <w:p>
      <w:pPr>
        <w:pStyle w:val="BlockText"/>
        <w:rPr/>
      </w:pPr>
      <w:r>
        <w:rPr/>
        <w:tab/>
        <w:tab/>
        <w:tab/>
        <w:tab/>
        <w:tab/>
        <w:t xml:space="preserve">      Name: ________________________ </w:t>
      </w:r>
    </w:p>
    <w:p>
      <w:pPr>
        <w:pStyle w:val="BlockText"/>
        <w:rPr/>
      </w:pPr>
      <w:r>
        <w:rPr/>
        <w:tab/>
        <w:tab/>
        <w:tab/>
        <w:tab/>
        <w:tab/>
        <w:t xml:space="preserve">      Title: __________________________</w:t>
      </w:r>
    </w:p>
    <w:p>
      <w:pPr>
        <w:pStyle w:val="BlockText"/>
        <w:rPr/>
      </w:pPr>
      <w:r>
        <w:rPr/>
      </w:r>
    </w:p>
    <w:p>
      <w:pPr>
        <w:pStyle w:val="BlockText"/>
        <w:rPr/>
      </w:pPr>
      <w:r>
        <w:rPr/>
      </w:r>
    </w:p>
    <w:p>
      <w:pPr>
        <w:pStyle w:val="BlockText"/>
        <w:rPr/>
      </w:pPr>
      <w:r>
        <w:rPr/>
      </w:r>
    </w:p>
    <w:p>
      <w:pPr>
        <w:pStyle w:val="BlockText"/>
        <w:rPr/>
      </w:pPr>
      <w:r>
        <w:rPr/>
        <w:t>(SEAL)</w:t>
      </w:r>
    </w:p>
    <w:p>
      <w:pPr>
        <w:pStyle w:val="BlockText"/>
        <w:rPr/>
      </w:pPr>
      <w:r>
        <w:rPr/>
      </w:r>
    </w:p>
    <w:p>
      <w:pPr>
        <w:pStyle w:val="BlockText"/>
        <w:rPr/>
      </w:pPr>
      <w:r>
        <w:rPr/>
        <w:t>Attest:</w:t>
      </w:r>
    </w:p>
    <w:p>
      <w:pPr>
        <w:pStyle w:val="BlockText"/>
        <w:rPr/>
      </w:pPr>
      <w:r>
        <w:rPr/>
      </w:r>
    </w:p>
    <w:p>
      <w:pPr>
        <w:pStyle w:val="BlockText"/>
        <w:ind w:start="0" w:end="-1080"/>
        <w:rPr/>
      </w:pPr>
      <w:r>
        <w:rPr/>
        <w:tab/>
        <w:t>______________________________</w:t>
      </w:r>
    </w:p>
    <w:p>
      <w:pPr>
        <w:pStyle w:val="BlockText"/>
        <w:ind w:start="0" w:end="-1080"/>
        <w:rPr/>
      </w:pPr>
      <w:r>
        <w:rPr/>
        <w:tab/>
        <w:t>Corporate Secretary</w:t>
      </w:r>
    </w:p>
    <w:p>
      <w:pPr>
        <w:pStyle w:val="BlockText"/>
        <w:ind w:start="0" w:end="-1080"/>
        <w:rPr/>
      </w:pPr>
      <w:r>
        <w:rPr/>
      </w:r>
    </w:p>
    <w:p>
      <w:pPr>
        <w:pStyle w:val="BlockText"/>
        <w:ind w:start="0" w:end="-1080"/>
        <w:rPr/>
      </w:pPr>
      <w:r>
        <w:rPr/>
      </w:r>
      <w:r>
        <w:br w:type="page"/>
      </w:r>
    </w:p>
    <w:p>
      <w:pPr>
        <w:pStyle w:val="BlockText"/>
        <w:ind w:start="0" w:end="-1080"/>
        <w:jc w:val="center"/>
        <w:rPr/>
      </w:pPr>
      <w:r>
        <w:rPr/>
      </w:r>
    </w:p>
    <w:p>
      <w:pPr>
        <w:pStyle w:val="BlockText"/>
        <w:ind w:start="0" w:end="0"/>
        <w:jc w:val="center"/>
        <w:rPr/>
      </w:pPr>
      <w:r>
        <w:rPr/>
        <w:t>INCREASES AND DECREASES IN OUTSTANDING</w:t>
      </w:r>
    </w:p>
    <w:p>
      <w:pPr>
        <w:pStyle w:val="BlockText"/>
        <w:ind w:start="0" w:end="0"/>
        <w:jc w:val="center"/>
        <w:rPr/>
      </w:pPr>
      <w:r>
        <w:rPr/>
        <w:t>PRINCIPAL AMOUNT OF THIS NOTE</w:t>
      </w:r>
    </w:p>
    <w:p>
      <w:pPr>
        <w:pStyle w:val="BlockText"/>
        <w:ind w:start="0" w:end="0"/>
        <w:jc w:val="center"/>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rHeight w:val="7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ind w:start="0" w:end="0"/>
              <w:rPr/>
            </w:pPr>
            <w:r>
              <w:rPr/>
              <w:t>DATE</w:t>
            </w:r>
          </w:p>
        </w:tc>
        <w:tc>
          <w:tcPr>
            <w:tcW w:w="2214" w:type="dxa"/>
            <w:tcBorders>
              <w:top w:val="single" w:sz="4" w:space="0" w:color="000000"/>
              <w:start w:val="single" w:sz="4" w:space="0" w:color="000000"/>
              <w:bottom w:val="single" w:sz="4" w:space="0" w:color="000000"/>
              <w:end w:val="single" w:sz="4" w:space="0" w:color="000000"/>
            </w:tcBorders>
          </w:tcPr>
          <w:p>
            <w:pPr>
              <w:pStyle w:val="BlockText"/>
              <w:ind w:start="0" w:end="0"/>
              <w:rPr/>
            </w:pPr>
            <w:r>
              <w:rPr/>
              <w:t>AMOUNT OF</w:t>
            </w:r>
          </w:p>
          <w:p>
            <w:pPr>
              <w:pStyle w:val="BlockText"/>
              <w:ind w:start="0" w:end="0"/>
              <w:rPr/>
            </w:pPr>
            <w:r>
              <w:rPr/>
              <w:t>INCREASE</w:t>
            </w:r>
          </w:p>
        </w:tc>
        <w:tc>
          <w:tcPr>
            <w:tcW w:w="2214" w:type="dxa"/>
            <w:tcBorders>
              <w:top w:val="single" w:sz="4" w:space="0" w:color="000000"/>
              <w:start w:val="single" w:sz="4" w:space="0" w:color="000000"/>
              <w:bottom w:val="single" w:sz="4" w:space="0" w:color="000000"/>
              <w:end w:val="single" w:sz="4" w:space="0" w:color="000000"/>
            </w:tcBorders>
          </w:tcPr>
          <w:p>
            <w:pPr>
              <w:pStyle w:val="BlockText"/>
              <w:ind w:start="0" w:end="0"/>
              <w:rPr/>
            </w:pPr>
            <w:r>
              <w:rPr/>
              <w:t>AMOUNT OF</w:t>
            </w:r>
          </w:p>
          <w:p>
            <w:pPr>
              <w:pStyle w:val="BlockText"/>
              <w:ind w:start="0" w:end="0"/>
              <w:rPr/>
            </w:pPr>
            <w:r>
              <w:rPr/>
              <w:t>DECREASE</w:t>
            </w:r>
          </w:p>
        </w:tc>
        <w:tc>
          <w:tcPr>
            <w:tcW w:w="2214" w:type="dxa"/>
            <w:tcBorders>
              <w:top w:val="single" w:sz="4" w:space="0" w:color="000000"/>
              <w:start w:val="single" w:sz="4" w:space="0" w:color="000000"/>
              <w:bottom w:val="single" w:sz="4" w:space="0" w:color="000000"/>
              <w:end w:val="single" w:sz="4" w:space="0" w:color="000000"/>
            </w:tcBorders>
          </w:tcPr>
          <w:p>
            <w:pPr>
              <w:pStyle w:val="BlockText"/>
              <w:ind w:start="0" w:end="0"/>
              <w:rPr/>
            </w:pPr>
            <w:r>
              <w:rPr/>
              <w:t xml:space="preserve">UNPAID </w:t>
            </w:r>
          </w:p>
          <w:p>
            <w:pPr>
              <w:pStyle w:val="BlockText"/>
              <w:ind w:start="0" w:end="0"/>
              <w:rPr/>
            </w:pPr>
            <w:r>
              <w:rPr/>
              <w:t xml:space="preserve">PRINCIPAL </w:t>
            </w:r>
          </w:p>
          <w:p>
            <w:pPr>
              <w:pStyle w:val="BlockText"/>
              <w:ind w:start="0" w:end="0"/>
              <w:rPr/>
            </w:pPr>
            <w:r>
              <w:rPr/>
              <w:t>BALANCE</w:t>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r>
        <w:trPr>
          <w:trHeight w:val="300" w:hRule="atLeast"/>
        </w:trPr>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p>
            <w:pPr>
              <w:pStyle w:val="BlockText"/>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BlockText"/>
              <w:snapToGrid w:val="false"/>
              <w:ind w:start="0" w:end="0"/>
              <w:jc w:val="center"/>
              <w:rPr/>
            </w:pPr>
            <w:r>
              <w:rPr/>
            </w:r>
          </w:p>
        </w:tc>
      </w:tr>
    </w:tbl>
    <w:p>
      <w:pPr>
        <w:pStyle w:val="BlockText"/>
        <w:ind w:end="0"/>
        <w:jc w:val="center"/>
        <w:rPr/>
      </w:pPr>
      <w:r>
        <w:rPr/>
      </w:r>
    </w:p>
    <w:p>
      <w:pPr>
        <w:pStyle w:val="Normal"/>
        <w:rPr/>
      </w:pPr>
      <w:r>
        <w:rPr/>
      </w:r>
    </w:p>
    <w:sectPr>
      <w:footerReference w:type="default" r:id="rId6"/>
      <w:footerReference w:type="first" r:id="rId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ind w:hanging="0" w:start="720" w:end="-1080"/>
      <w:jc w:val="center"/>
      <w:outlineLvl w:val="1"/>
    </w:pPr>
    <w:rPr>
      <w:u w:val="single"/>
    </w:rPr>
  </w:style>
  <w:style w:type="paragraph" w:styleId="Heading3">
    <w:name w:val="heading 3"/>
    <w:basedOn w:val="Normal"/>
    <w:next w:val="Normal"/>
    <w:qFormat/>
    <w:pPr>
      <w:keepNext w:val="true"/>
      <w:numPr>
        <w:ilvl w:val="2"/>
        <w:numId w:val="1"/>
      </w:numPr>
      <w:ind w:hanging="0" w:start="0" w:end="-1080"/>
      <w:jc w:val="center"/>
      <w:outlineLvl w:val="2"/>
    </w:pPr>
    <w:rPr>
      <w:u w:val="single"/>
    </w:rPr>
  </w:style>
  <w:style w:type="paragraph" w:styleId="Heading4">
    <w:name w:val="heading 4"/>
    <w:basedOn w:val="Normal"/>
    <w:next w:val="Normal"/>
    <w:qFormat/>
    <w:pPr>
      <w:keepNext w:val="true"/>
      <w:numPr>
        <w:ilvl w:val="3"/>
        <w:numId w:val="1"/>
      </w:numPr>
      <w:ind w:hanging="0" w:start="720" w:end="-1080"/>
      <w:jc w:val="center"/>
      <w:outlineLvl w:val="3"/>
    </w:pPr>
    <w:rPr>
      <w:b/>
    </w:rPr>
  </w:style>
  <w:style w:type="paragraph" w:styleId="Heading5">
    <w:name w:val="heading 5"/>
    <w:basedOn w:val="Normal"/>
    <w:next w:val="Normal"/>
    <w:qFormat/>
    <w:pPr>
      <w:keepNext w:val="true"/>
      <w:numPr>
        <w:ilvl w:val="4"/>
        <w:numId w:val="1"/>
      </w:numPr>
      <w:jc w:val="center"/>
      <w:outlineLvl w:val="4"/>
    </w:pPr>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1080"/>
    </w:pPr>
    <w:rPr/>
  </w:style>
  <w:style w:type="paragraph" w:styleId="BodyTextIndent">
    <w:name w:val="Body Text Indent"/>
    <w:basedOn w:val="Normal"/>
    <w:pPr>
      <w:tabs>
        <w:tab w:val="clear" w:pos="720"/>
        <w:tab w:val="left" w:pos="1800" w:leader="none"/>
      </w:tabs>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2001-01-22T18:29:00Z</dcterms:created>
  <dc:creator>Nancy Halder</dc:creator>
  <dc:description/>
  <dc:language>en-CA</dc:language>
  <cp:lastModifiedBy>BURNS</cp:lastModifiedBy>
  <cp:lastPrinted>2001-01-22T14:37:00Z</cp:lastPrinted>
  <dcterms:modified xsi:type="dcterms:W3CDTF">2001-01-22T18:29:00Z</dcterms:modified>
  <cp:revision>2</cp:revision>
  <dc:subject/>
  <dc:title>INTER-COMPANY CREDIT AGREEMENT</dc:title>
</cp:coreProperties>
</file>