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
        </w:rPr>
      </w:pPr>
      <w:r>
        <w:rPr>
          <w:rFonts w:cs="Times New Roman" w:ascii="Times New Roman" w:hAnsi="Times New Roman"/>
          <w:sz w:val="2"/>
        </w:rPr>
      </w:r>
      <w:r>
        <mc:AlternateContent>
          <mc:Choice Requires="wps">
            <w:drawing>
              <wp:anchor behindDoc="0" distT="0" distB="0" distL="114300" distR="114300" simplePos="0" locked="0" layoutInCell="0" allowOverlap="1" relativeHeight="2">
                <wp:simplePos x="0" y="0"/>
                <wp:positionH relativeFrom="page">
                  <wp:posOffset>638810</wp:posOffset>
                </wp:positionH>
                <wp:positionV relativeFrom="paragraph">
                  <wp:posOffset>153035</wp:posOffset>
                </wp:positionV>
                <wp:extent cx="5943600" cy="167449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674495"/>
                        </a:xfrm>
                        <a:prstGeom prst="rect"/>
                        <a:solidFill>
                          <a:srgbClr val="FFFFFF">
                            <a:alpha val="0"/>
                          </a:srgbClr>
                        </a:solidFill>
                      </wps:spPr>
                      <wps:txbx>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1.85pt;mso-wrap-distance-left:9pt;mso-wrap-distance-right:9pt;mso-wrap-distance-top:0pt;mso-wrap-distance-bottom:0pt;margin-top:12.05pt;mso-position-vertical-relative:text;margin-left:50.3pt;mso-position-horizontal-relative:page">
                <v:fill opacity="0f"/>
                <v:textbox inset="0in,0in,0in,0in">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v:textbox>
                <w10:wrap type="square"/>
              </v:rect>
            </w:pict>
          </mc:Fallback>
        </mc:AlternateContent>
      </w:r>
    </w:p>
    <w:tbl>
      <w:tblPr>
        <w:tblW w:w="11314" w:type="dxa"/>
        <w:jc w:val="start"/>
        <w:tblInd w:w="200" w:type="dxa"/>
        <w:tblLayout w:type="fixed"/>
        <w:tblCellMar>
          <w:top w:w="0" w:type="dxa"/>
          <w:start w:w="108" w:type="dxa"/>
          <w:bottom w:w="0" w:type="dxa"/>
          <w:end w:w="108" w:type="dxa"/>
        </w:tblCellMar>
      </w:tblPr>
      <w:tblGrid>
        <w:gridCol w:w="1008"/>
        <w:gridCol w:w="6045"/>
        <w:gridCol w:w="1296"/>
        <w:gridCol w:w="2965"/>
      </w:tblGrid>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To:</w:t>
            </w:r>
          </w:p>
        </w:tc>
        <w:tc>
          <w:tcPr>
            <w:tcW w:w="6045" w:type="dxa"/>
            <w:tcBorders/>
          </w:tcPr>
          <w:p>
            <w:pPr>
              <w:pStyle w:val="To"/>
              <w:rPr>
                <w:rFonts w:ascii="Times New Roman" w:hAnsi="Times New Roman" w:cs="Times New Roman"/>
                <w:sz w:val="24"/>
                <w:szCs w:val="24"/>
              </w:rPr>
            </w:pPr>
            <w:r>
              <w:rPr>
                <w:rFonts w:cs="Times New Roman" w:ascii="Times New Roman" w:hAnsi="Times New Roman"/>
                <w:sz w:val="24"/>
                <w:szCs w:val="24"/>
              </w:rPr>
              <w:t>Cary Carrabine</w:t>
            </w:r>
          </w:p>
        </w:tc>
        <w:tc>
          <w:tcPr>
            <w:tcW w:w="1296" w:type="dxa"/>
            <w:tcBorders/>
          </w:tcPr>
          <w:p>
            <w:pPr>
              <w:pStyle w:val="Normal"/>
              <w:snapToGrid w:val="false"/>
              <w:ind w:start="-180" w:end="0"/>
              <w:rPr>
                <w:rFonts w:ascii="Times New Roman" w:hAnsi="Times New Roman" w:cs="Times New Roman"/>
                <w:sz w:val="24"/>
                <w:szCs w:val="24"/>
              </w:rPr>
            </w:pPr>
            <w:r>
              <w:rPr>
                <w:rFonts w:cs="Times New Roman" w:ascii="Times New Roman" w:hAnsi="Times New Roman"/>
                <w:sz w:val="24"/>
                <w:szCs w:val="24"/>
              </w:rPr>
            </w:r>
          </w:p>
          <w:p>
            <w:pPr>
              <w:pStyle w:val="Normal"/>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1008"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From:</w:t>
            </w:r>
          </w:p>
        </w:tc>
        <w:tc>
          <w:tcPr>
            <w:tcW w:w="6045" w:type="dxa"/>
            <w:tcBorders/>
          </w:tcPr>
          <w:p>
            <w:pPr>
              <w:pStyle w:val="From"/>
              <w:rPr>
                <w:rFonts w:ascii="Times New Roman" w:hAnsi="Times New Roman" w:cs="Times New Roman"/>
                <w:sz w:val="24"/>
                <w:szCs w:val="24"/>
              </w:rPr>
            </w:pPr>
            <w:r>
              <w:rPr>
                <w:rFonts w:cs="Times New Roman" w:ascii="Times New Roman" w:hAnsi="Times New Roman"/>
                <w:sz w:val="24"/>
                <w:szCs w:val="24"/>
              </w:rPr>
              <w:t>Stacy Dickson Granmayeh</w:t>
            </w:r>
          </w:p>
        </w:tc>
        <w:tc>
          <w:tcPr>
            <w:tcW w:w="1296" w:type="dxa"/>
            <w:tcBorders/>
          </w:tcPr>
          <w:p>
            <w:pPr>
              <w:pStyle w:val="Normal"/>
              <w:ind w:start="-180" w:end="0"/>
              <w:jc w:val="end"/>
              <w:rPr>
                <w:rFonts w:ascii="Times New Roman" w:hAnsi="Times New Roman" w:cs="Times New Roman"/>
              </w:rPr>
            </w:pPr>
            <w:r>
              <w:rPr>
                <w:rFonts w:cs="Times New Roman" w:ascii="Times New Roman" w:hAnsi="Times New Roman"/>
              </w:rPr>
              <w:t>Department:</w:t>
            </w:r>
          </w:p>
        </w:tc>
        <w:tc>
          <w:tcPr>
            <w:tcW w:w="2965" w:type="dxa"/>
            <w:tcBorders/>
          </w:tcPr>
          <w:p>
            <w:pPr>
              <w:pStyle w:val="Department"/>
              <w:rPr>
                <w:rFonts w:ascii="Times New Roman" w:hAnsi="Times New Roman" w:cs="Times New Roman"/>
                <w:sz w:val="24"/>
                <w:szCs w:val="24"/>
              </w:rPr>
            </w:pPr>
            <w:bookmarkStart w:id="0" w:name="From"/>
            <w:bookmarkEnd w:id="0"/>
            <w:r>
              <w:rPr>
                <w:rFonts w:cs="Times New Roman" w:ascii="Times New Roman" w:hAnsi="Times New Roman"/>
                <w:sz w:val="24"/>
                <w:szCs w:val="24"/>
              </w:rPr>
              <w:t>ENA - Legal</w:t>
            </w:r>
          </w:p>
        </w:tc>
      </w:tr>
      <w:tr>
        <w:trPr>
          <w:trHeight w:val="216" w:hRule="exact"/>
        </w:trPr>
        <w:tc>
          <w:tcPr>
            <w:tcW w:w="1008" w:type="dxa"/>
            <w:tcBorders/>
          </w:tcPr>
          <w:p>
            <w:pPr>
              <w:pStyle w:val="Normal"/>
              <w:snapToGrid w:val="false"/>
              <w:ind w:start="-180" w:end="0"/>
              <w:jc w:val="end"/>
              <w:rPr>
                <w:rFonts w:ascii="Times New Roman" w:hAnsi="Times New Roman" w:cs="Times New Roman"/>
                <w:sz w:val="24"/>
                <w:szCs w:val="24"/>
              </w:rPr>
            </w:pPr>
            <w:r>
              <w:rPr>
                <w:rFonts w:cs="Times New Roman" w:ascii="Times New Roman" w:hAnsi="Times New Roman"/>
                <w:sz w:val="24"/>
                <w:szCs w:val="24"/>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600" w:hRule="exact"/>
        </w:trPr>
        <w:tc>
          <w:tcPr>
            <w:tcW w:w="1008"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Subject:</w:t>
            </w:r>
          </w:p>
        </w:tc>
        <w:tc>
          <w:tcPr>
            <w:tcW w:w="6045" w:type="dxa"/>
            <w:tcBorders>
              <w:bottom w:val="single" w:sz="12" w:space="0" w:color="000000"/>
            </w:tcBorders>
          </w:tcPr>
          <w:p>
            <w:pPr>
              <w:pStyle w:val="Subject"/>
              <w:rPr>
                <w:rFonts w:ascii="Times New Roman" w:hAnsi="Times New Roman" w:cs="Times New Roman"/>
                <w:b/>
                <w:bCs/>
                <w:sz w:val="24"/>
                <w:szCs w:val="24"/>
              </w:rPr>
            </w:pPr>
            <w:bookmarkStart w:id="1" w:name="tSubject"/>
            <w:bookmarkEnd w:id="1"/>
            <w:r>
              <w:rPr>
                <w:rFonts w:cs="Times New Roman" w:ascii="Times New Roman" w:hAnsi="Times New Roman"/>
                <w:b/>
                <w:bCs/>
                <w:sz w:val="24"/>
                <w:szCs w:val="24"/>
              </w:rPr>
              <w:t>Master Contract between Wisconsin Public Service Corporation and Enovate</w:t>
            </w:r>
          </w:p>
        </w:tc>
        <w:tc>
          <w:tcPr>
            <w:tcW w:w="1296"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Date:</w:t>
            </w:r>
          </w:p>
        </w:tc>
        <w:tc>
          <w:tcPr>
            <w:tcW w:w="2965" w:type="dxa"/>
            <w:tcBorders>
              <w:bottom w:val="single" w:sz="12" w:space="0" w:color="000000"/>
            </w:tcBorders>
          </w:tcPr>
          <w:p>
            <w:pPr>
              <w:pStyle w:val="Date"/>
              <w:rPr>
                <w:rFonts w:ascii="Times New Roman" w:hAnsi="Times New Roman" w:cs="Times New Roman"/>
                <w:sz w:val="24"/>
                <w:szCs w:val="24"/>
              </w:rPr>
            </w:pPr>
            <w:r>
              <w:rPr>
                <w:rFonts w:cs="Times New Roman" w:ascii="Times New Roman" w:hAnsi="Times New Roman"/>
                <w:sz w:val="24"/>
                <w:szCs w:val="24"/>
              </w:rPr>
              <w:t>April 11, 2001</w:t>
            </w:r>
          </w:p>
        </w:tc>
      </w:tr>
    </w:tbl>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bookmarkStart w:id="2" w:name="StartOfMemo"/>
      <w:bookmarkStart w:id="3" w:name="StartOfMemo"/>
      <w:bookmarkEnd w:id="3"/>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ab/>
        <w:t>Per your request, I have reviewed the above-referenced agreement.  Below are my comments:</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correct legal name is enovate, L.L.C.</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Change the Confirming Party in Section 3.13 to Seller.</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Section 4.1 needs to be altered in such a way to make the verbal agreement of the Parties binding at the time of the phone call.  As written, any agreement between the Parties is not binding until a Transaction Confirmation is executed by both Parties.</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word “Contract” in Section 5.1.1b should be changed to “Transaction”.</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Cary, please review Sections 5.1.1b and 5.1.2b covering “firm swing” deals.  Do you want these types of deals in an agreement with Wisconsin Public Service?</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Cary, please note the alternative Purchase Deficiency Charge Calculation in Section 5.3.2a.  Is this acceptable to you?</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Please note the allocation mechanism in Section 5.4.2 for determining the payment by Buyer for a Term Purchase Deficiency.  Is this acceptable to you?</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Please note the alternative Supply Deficiency Charge Calculation in Section 5.5.2a.  Is this acceptable to you?</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contract has the concepts of Point(s) of Receipt and Point(s) of Sale set out in Section 6.  These two concepts need to be collapsed into Point(s) of Delivery language.  We do not need or want a distinction between point of receipt and point of sale.</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Section 6.5 in its entirety.</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Section 6.6 in its entirety.</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Cary, please note the special treatment of ANR Southwest gas.</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Alter Section 8.3.3 concerning Locked Prices in such a way to make the Locked Price binding at the time of the phone call not upon the passage of 48 hours from receipt of a confirmation.</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I did not find a definition for Commodity Charge Index Adjustment referred to in Section 8.1, 8.2 and 8.3.</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first sentence of Section 10.3 should be altered to delete the last phrase “of the negligence of the other Party” and include the following phrase in its place:  “the gross negligence, willful misconduct or bad faith of the other Party.”</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the phrase “(not via facsimile)” from the first sentence of Section 12.1.</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Add the following phrase at the end of Section 15.3: “; the loss of Buyer’s Markets; or Buyer’s inability economically to use or resell gas purchased hereunder.”</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the phrase “or Buyer or Seller claims force majeure for a period exceeding seven (7) cumulative days or five (5) consecutive days during the Transaction Term” in Section 16.1.b.</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Add the following sentence to the end of Section 16.1.e:  “Party fails to perform any covenant set forth in this Contract.”</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the third sentence of Section 16.2.</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16.3.d in its entirety.</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The Corporate Guarantee in Section 19 should be a payment guarantee not a performance guarantee.</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Change “Wisconsin” to “Illinois” in Section 21.5.</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Section 21.7 requires “mutual execution of an appropriate supplemental written Transaction Confirmation” for an effective modification.  This conflicts with Section 8.3.3, which does not require execution of a Transaction Confirmation for a Locked Price.</w:t>
      </w:r>
    </w:p>
    <w:p>
      <w:pPr>
        <w:pStyle w:val="CopyList"/>
        <w:numPr>
          <w:ilvl w:val="0"/>
          <w:numId w:val="2"/>
        </w:numPr>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t>Delete Section 22.e in its entirety.</w:t>
      </w:r>
    </w:p>
    <w:p>
      <w:pPr>
        <w:pStyle w:val="CopyList"/>
        <w:tabs>
          <w:tab w:val="clear" w:pos="504"/>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start="1221" w:end="0"/>
        <w:jc w:val="both"/>
        <w:rPr>
          <w:rFonts w:ascii="Times New Roman" w:hAnsi="Times New Roman" w:cs="Times New Roman"/>
          <w:sz w:val="24"/>
          <w:szCs w:val="24"/>
        </w:rPr>
      </w:pPr>
      <w:r>
        <w:rPr>
          <w:rFonts w:cs="Times New Roman" w:ascii="Times New Roman" w:hAnsi="Times New Roman"/>
          <w:sz w:val="24"/>
          <w:szCs w:val="24"/>
        </w:rPr>
        <w:t>Please call me so that we may discuss my comments.</w:t>
      </w:r>
    </w:p>
    <w:sectPr>
      <w:headerReference w:type="default" r:id="rId4"/>
      <w:headerReference w:type="first" r:id="rId5"/>
      <w:footerReference w:type="default" r:id="rId6"/>
      <w:footerReference w:type="first" r:id="rId7"/>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/mnt/main-storage/datasets/enron-docs/doc/enovate_memo_to_Cary_Carrabine_04_10_01.doc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658495"/>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37"/>
        </w:tabs>
        <w:ind w:start="1437"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2001-04-11T13:37:00Z</dcterms:created>
  <dc:creator>ECT</dc:creator>
  <dc:description/>
  <dc:language>en-CA</dc:language>
  <cp:lastModifiedBy>Theresa Zucha</cp:lastModifiedBy>
  <cp:lastPrinted>2001-04-11T11:07:00Z</cp:lastPrinted>
  <dcterms:modified xsi:type="dcterms:W3CDTF">2001-04-11T13:37:00Z</dcterms:modified>
  <cp:revision>2</cp:revision>
  <dc:subject>The Subject of the Memo</dc:subject>
  <dc:title> 	</dc:title>
</cp:coreProperties>
</file>