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accordance with Section 6.2.2 of the Midwest Energy Hub, L.L.C., now enovate, L.L.C., Limited Liability Company Agreement dated April 26, 2000, Enron MW, L.L.C. hereby replaces [Janet Dietrich] with [Laura Luce] to serve as Board Member.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accordance with Section 6.8.3 of the Midwest Energy Hub, L.L.C., now enovate, L.L.C., Limited Liability Company Agreement dated April 26, 2000, Enron MW, L.L.C., as Managing Member, hereby replaces [Laura Luce] with [Gregg Penman] to serve as General Manager.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accordance with Section 6.9 of the Midwest Energy Hub, L.L.C., now enovate, L.L.C., Limited Liability Company Agreement dated April 26, 2000, Enron MW, L.L.C., as Managing Member, hereby appoints [Richard Tomaski] to serve as Commercial Development Manager.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2000-10-31T13:00:00Z</dcterms:created>
  <dc:creator>gpenman</dc:creator>
  <dc:description/>
  <dc:language>en-CA</dc:language>
  <cp:lastModifiedBy>gpenman</cp:lastModifiedBy>
  <dcterms:modified xsi:type="dcterms:W3CDTF">2000-10-31T14:39:00Z</dcterms:modified>
  <cp:revision>1</cp:revision>
  <dc:subject/>
  <dc:title>In accordance with Section 6</dc:title>
</cp:coreProperties>
</file>