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 w:type="dxa"/>
        <w:tblLayout w:type="fixed"/>
        <w:tblCellMar>
          <w:top w:w="0" w:type="dxa"/>
          <w:start w:w="108" w:type="dxa"/>
          <w:bottom w:w="0" w:type="dxa"/>
          <w:end w:w="108" w:type="dxa"/>
        </w:tblCellMar>
      </w:tblPr>
      <w:tblGrid>
        <w:gridCol w:w="4230"/>
        <w:gridCol w:w="6480"/>
      </w:tblGrid>
      <w:tr>
        <w:trPr/>
        <w:tc>
          <w:tcPr>
            <w:tcW w:w="4230" w:type="dxa"/>
            <w:tcBorders/>
          </w:tcPr>
          <w:p>
            <w:pPr>
              <w:pStyle w:val="Normal"/>
              <w:jc w:val="end"/>
              <w:rPr>
                <w:b/>
              </w:rPr>
            </w:pPr>
            <w:r>
              <w:rPr>
                <w:b/>
              </w:rPr>
              <w:t>Delivery Point:</w:t>
            </w:r>
          </w:p>
        </w:tc>
        <w:tc>
          <w:tcPr>
            <w:tcW w:w="6480" w:type="dxa"/>
            <w:tcBorders/>
          </w:tcPr>
          <w:p>
            <w:pPr>
              <w:pStyle w:val="Footer"/>
              <w:tabs>
                <w:tab w:val="clear" w:pos="4320"/>
                <w:tab w:val="clear" w:pos="8640"/>
              </w:tabs>
              <w:rPr/>
            </w:pPr>
            <w:r>
              <w:rPr/>
              <w:t>Buyer’s plant in Bayport, Texas, via Seller’s meter # 8009</w:t>
            </w:r>
          </w:p>
        </w:tc>
      </w:tr>
      <w:tr>
        <w:trPr/>
        <w:tc>
          <w:tcPr>
            <w:tcW w:w="4230" w:type="dxa"/>
            <w:tcBorders/>
          </w:tcPr>
          <w:p>
            <w:pPr>
              <w:pStyle w:val="Normal"/>
              <w:snapToGrid w:val="false"/>
              <w:jc w:val="end"/>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rPr>
            </w:pPr>
            <w:r>
              <w:rPr>
                <w:b/>
              </w:rPr>
            </w:r>
          </w:p>
        </w:tc>
      </w:tr>
      <w:tr>
        <w:trPr/>
        <w:tc>
          <w:tcPr>
            <w:tcW w:w="4230" w:type="dxa"/>
            <w:tcBorders/>
          </w:tcPr>
          <w:p>
            <w:pPr>
              <w:pStyle w:val="Normal"/>
              <w:snapToGrid w:val="false"/>
              <w:jc w:val="end"/>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rPr>
            </w:pPr>
            <w:r>
              <w:rPr>
                <w:b/>
              </w:rPr>
            </w:r>
          </w:p>
        </w:tc>
      </w:tr>
      <w:tr>
        <w:trPr/>
        <w:tc>
          <w:tcPr>
            <w:tcW w:w="4230" w:type="dxa"/>
            <w:tcBorders/>
          </w:tcPr>
          <w:p>
            <w:pPr>
              <w:pStyle w:val="Normal"/>
              <w:jc w:val="end"/>
              <w:rPr>
                <w:b/>
              </w:rPr>
            </w:pPr>
            <w:r>
              <w:rPr>
                <w:b/>
              </w:rPr>
              <w:t>Term</w:t>
            </w:r>
          </w:p>
        </w:tc>
        <w:tc>
          <w:tcPr>
            <w:tcW w:w="6480" w:type="dxa"/>
            <w:tcBorders/>
          </w:tcPr>
          <w:p>
            <w:pPr>
              <w:pStyle w:val="Normal"/>
              <w:rPr>
                <w:b/>
                <w:u w:val="single"/>
              </w:rPr>
            </w:pPr>
            <w:r>
              <w:rPr/>
              <w:t>November 1, 2000 to October 31, 2001 (12 months)</w:t>
            </w:r>
          </w:p>
        </w:tc>
      </w:tr>
      <w:tr>
        <w:trPr/>
        <w:tc>
          <w:tcPr>
            <w:tcW w:w="4230" w:type="dxa"/>
            <w:tcBorders/>
          </w:tcPr>
          <w:p>
            <w:pPr>
              <w:pStyle w:val="Normal"/>
              <w:snapToGrid w:val="false"/>
              <w:jc w:val="end"/>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u w:val="single"/>
              </w:rPr>
            </w:pPr>
            <w:r>
              <w:rPr>
                <w:b/>
                <w:u w:val="single"/>
              </w:rPr>
            </w:r>
          </w:p>
        </w:tc>
      </w:tr>
      <w:tr>
        <w:trPr/>
        <w:tc>
          <w:tcPr>
            <w:tcW w:w="4230" w:type="dxa"/>
            <w:tcBorders/>
          </w:tcPr>
          <w:p>
            <w:pPr>
              <w:pStyle w:val="Normal"/>
              <w:snapToGrid w:val="false"/>
              <w:jc w:val="end"/>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u w:val="single"/>
              </w:rPr>
            </w:pPr>
            <w:r>
              <w:rPr>
                <w:b/>
                <w:u w:val="single"/>
              </w:rPr>
            </w:r>
          </w:p>
        </w:tc>
      </w:tr>
      <w:tr>
        <w:trPr/>
        <w:tc>
          <w:tcPr>
            <w:tcW w:w="4230" w:type="dxa"/>
            <w:tcBorders/>
          </w:tcPr>
          <w:p>
            <w:pPr>
              <w:pStyle w:val="Normal"/>
              <w:jc w:val="end"/>
              <w:rPr>
                <w:b/>
                <w:u w:val="single"/>
              </w:rPr>
            </w:pPr>
            <w:r>
              <w:rPr>
                <w:b/>
              </w:rPr>
              <w:t>Daily Contract Quantity:</w:t>
            </w:r>
          </w:p>
        </w:tc>
        <w:tc>
          <w:tcPr>
            <w:tcW w:w="6480" w:type="dxa"/>
            <w:tcBorders/>
          </w:tcPr>
          <w:p>
            <w:pPr>
              <w:pStyle w:val="Normal"/>
              <w:rPr>
                <w:b/>
                <w:u w:val="single"/>
              </w:rPr>
            </w:pPr>
            <w:r>
              <w:rPr/>
              <w:t xml:space="preserve">100% of plant requirements </w:t>
            </w:r>
          </w:p>
        </w:tc>
      </w:tr>
      <w:tr>
        <w:trPr/>
        <w:tc>
          <w:tcPr>
            <w:tcW w:w="4230" w:type="dxa"/>
            <w:tcBorders/>
          </w:tcPr>
          <w:p>
            <w:pPr>
              <w:pStyle w:val="Normal"/>
              <w:snapToGrid w:val="false"/>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Footer"/>
              <w:tabs>
                <w:tab w:val="clear" w:pos="4320"/>
                <w:tab w:val="clear" w:pos="8640"/>
              </w:tabs>
              <w:snapToGrid w:val="false"/>
              <w:rPr>
                <w:b/>
                <w:u w:val="single"/>
              </w:rPr>
            </w:pPr>
            <w:r>
              <w:rPr>
                <w:b/>
                <w:u w:val="single"/>
              </w:rPr>
            </w:r>
          </w:p>
        </w:tc>
      </w:tr>
      <w:tr>
        <w:trPr/>
        <w:tc>
          <w:tcPr>
            <w:tcW w:w="4230" w:type="dxa"/>
            <w:tcBorders/>
          </w:tcPr>
          <w:p>
            <w:pPr>
              <w:pStyle w:val="Normal"/>
              <w:snapToGrid w:val="false"/>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Footer"/>
              <w:tabs>
                <w:tab w:val="clear" w:pos="4320"/>
                <w:tab w:val="clear" w:pos="8640"/>
              </w:tabs>
              <w:snapToGrid w:val="false"/>
              <w:rPr>
                <w:b/>
                <w:u w:val="single"/>
              </w:rPr>
            </w:pPr>
            <w:r>
              <w:rPr>
                <w:b/>
                <w:u w:val="single"/>
              </w:rPr>
            </w:r>
          </w:p>
        </w:tc>
      </w:tr>
      <w:tr>
        <w:trPr/>
        <w:tc>
          <w:tcPr>
            <w:tcW w:w="4230" w:type="dxa"/>
            <w:tcBorders/>
          </w:tcPr>
          <w:p>
            <w:pPr>
              <w:pStyle w:val="Normal"/>
              <w:tabs>
                <w:tab w:val="clear" w:pos="360"/>
                <w:tab w:val="left" w:pos="3492" w:leader="none"/>
              </w:tabs>
              <w:jc w:val="end"/>
              <w:rPr>
                <w:b/>
              </w:rPr>
            </w:pPr>
            <w:r>
              <w:rPr>
                <w:b/>
              </w:rPr>
              <w:t>Maximum Daily Quantity (MaxDQ):</w:t>
            </w:r>
          </w:p>
        </w:tc>
        <w:tc>
          <w:tcPr>
            <w:tcW w:w="6480" w:type="dxa"/>
            <w:tcBorders/>
          </w:tcPr>
          <w:p>
            <w:pPr>
              <w:pStyle w:val="Normal"/>
              <w:rPr/>
            </w:pPr>
            <w:r>
              <w:rPr/>
              <w:t>600 MMBtu per day</w:t>
            </w:r>
          </w:p>
        </w:tc>
      </w:tr>
      <w:tr>
        <w:trPr/>
        <w:tc>
          <w:tcPr>
            <w:tcW w:w="4230" w:type="dxa"/>
            <w:tcBorders/>
          </w:tcPr>
          <w:p>
            <w:pPr>
              <w:pStyle w:val="Normal"/>
              <w:snapToGrid w:val="false"/>
              <w:jc w:val="end"/>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rPr>
            </w:pPr>
            <w:r>
              <w:rPr>
                <w:b/>
              </w:rPr>
            </w:r>
          </w:p>
        </w:tc>
      </w:tr>
      <w:tr>
        <w:trPr/>
        <w:tc>
          <w:tcPr>
            <w:tcW w:w="4230" w:type="dxa"/>
            <w:tcBorders/>
          </w:tcPr>
          <w:p>
            <w:pPr>
              <w:pStyle w:val="Normal"/>
              <w:snapToGrid w:val="false"/>
              <w:jc w:val="end"/>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rPr>
            </w:pPr>
            <w:r>
              <w:rPr>
                <w:b/>
              </w:rPr>
            </w:r>
          </w:p>
        </w:tc>
      </w:tr>
      <w:tr>
        <w:trPr/>
        <w:tc>
          <w:tcPr>
            <w:tcW w:w="4230" w:type="dxa"/>
            <w:tcBorders/>
          </w:tcPr>
          <w:p>
            <w:pPr>
              <w:pStyle w:val="Normal"/>
              <w:jc w:val="end"/>
              <w:rPr>
                <w:b/>
              </w:rPr>
            </w:pPr>
            <w:r>
              <w:rPr>
                <w:b/>
              </w:rPr>
              <w:t>Minimum Daily Quantity (MinDQ):</w:t>
            </w:r>
          </w:p>
        </w:tc>
        <w:tc>
          <w:tcPr>
            <w:tcW w:w="6480" w:type="dxa"/>
            <w:tcBorders/>
          </w:tcPr>
          <w:p>
            <w:pPr>
              <w:pStyle w:val="Normal"/>
              <w:rPr>
                <w:b/>
                <w:u w:val="single"/>
              </w:rPr>
            </w:pPr>
            <w:r>
              <w:rPr/>
              <w:t xml:space="preserve">100% of plant requirements </w:t>
            </w:r>
          </w:p>
        </w:tc>
      </w:tr>
      <w:tr>
        <w:trPr/>
        <w:tc>
          <w:tcPr>
            <w:tcW w:w="4230" w:type="dxa"/>
            <w:tcBorders/>
          </w:tcPr>
          <w:p>
            <w:pPr>
              <w:pStyle w:val="Normal"/>
              <w:snapToGrid w:val="false"/>
              <w:jc w:val="end"/>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rPr>
            </w:pPr>
            <w:r>
              <w:rPr>
                <w:b/>
              </w:rPr>
            </w:r>
          </w:p>
        </w:tc>
      </w:tr>
      <w:tr>
        <w:trPr/>
        <w:tc>
          <w:tcPr>
            <w:tcW w:w="4230" w:type="dxa"/>
            <w:tcBorders/>
          </w:tcPr>
          <w:p>
            <w:pPr>
              <w:pStyle w:val="Normal"/>
              <w:snapToGrid w:val="false"/>
              <w:jc w:val="end"/>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rPr>
            </w:pPr>
            <w:r>
              <w:rPr>
                <w:b/>
              </w:rPr>
            </w:r>
          </w:p>
        </w:tc>
      </w:tr>
      <w:tr>
        <w:trPr/>
        <w:tc>
          <w:tcPr>
            <w:tcW w:w="4230" w:type="dxa"/>
            <w:tcBorders/>
          </w:tcPr>
          <w:p>
            <w:pPr>
              <w:pStyle w:val="Normal"/>
              <w:jc w:val="end"/>
              <w:rPr>
                <w:b/>
              </w:rPr>
            </w:pPr>
            <w:r>
              <w:rPr>
                <w:b/>
              </w:rPr>
              <w:t>Price per MMBtu:</w:t>
            </w:r>
          </w:p>
        </w:tc>
        <w:tc>
          <w:tcPr>
            <w:tcW w:w="6480" w:type="dxa"/>
            <w:tcBorders/>
          </w:tcPr>
          <w:p>
            <w:pPr>
              <w:pStyle w:val="Normal"/>
              <w:rPr>
                <w:b/>
                <w:u w:val="single"/>
              </w:rPr>
            </w:pPr>
            <w:r>
              <w:rPr/>
              <w:t>IFHSC + $0.26 per MMBtu, where IFHSC is the price per MMBtu specified in the table “DELIVERED SPOT-GAS PRICES” for “Houston Ship Channel/Beaumont, Texas” under the section “index (large packages only)” in the first issue of Inside FERC Gas Market Report published during such month</w:t>
            </w:r>
          </w:p>
        </w:tc>
      </w:tr>
      <w:tr>
        <w:trPr/>
        <w:tc>
          <w:tcPr>
            <w:tcW w:w="4230" w:type="dxa"/>
            <w:tcBorders/>
          </w:tcPr>
          <w:p>
            <w:pPr>
              <w:pStyle w:val="Normal"/>
              <w:snapToGrid w:val="false"/>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u w:val="single"/>
              </w:rPr>
            </w:pPr>
            <w:r>
              <w:rPr>
                <w:b/>
                <w:u w:val="single"/>
              </w:rPr>
            </w:r>
          </w:p>
        </w:tc>
      </w:tr>
      <w:tr>
        <w:trPr/>
        <w:tc>
          <w:tcPr>
            <w:tcW w:w="4230" w:type="dxa"/>
            <w:tcBorders/>
          </w:tcPr>
          <w:p>
            <w:pPr>
              <w:pStyle w:val="Normal"/>
              <w:snapToGrid w:val="false"/>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b/>
                <w:u w:val="single"/>
              </w:rPr>
            </w:pPr>
            <w:r>
              <w:rPr>
                <w:b/>
                <w:u w:val="single"/>
              </w:rPr>
            </w:r>
          </w:p>
        </w:tc>
      </w:tr>
      <w:tr>
        <w:trPr/>
        <w:tc>
          <w:tcPr>
            <w:tcW w:w="4230" w:type="dxa"/>
            <w:tcBorders/>
          </w:tcPr>
          <w:p>
            <w:pPr>
              <w:pStyle w:val="Normal"/>
              <w:snapToGrid w:val="false"/>
              <w:rPr>
                <w:rFonts w:ascii="Univers;Arial" w:hAnsi="Univers;Arial" w:cs="Univers;Arial"/>
                <w:b/>
                <w:sz w:val="20"/>
                <w:u w:val="single"/>
              </w:rPr>
            </w:pPr>
            <w:r>
              <w:rPr>
                <w:rFonts w:cs="Univers;Arial" w:ascii="Univers;Arial" w:hAnsi="Univers;Arial"/>
                <w:b/>
                <w:sz w:val="20"/>
                <w:u w:val="single"/>
              </w:rPr>
            </w:r>
          </w:p>
        </w:tc>
        <w:tc>
          <w:tcPr>
            <w:tcW w:w="6480" w:type="dxa"/>
            <w:tcBorders/>
          </w:tcPr>
          <w:p>
            <w:pPr>
              <w:pStyle w:val="Normal"/>
              <w:snapToGrid w:val="false"/>
              <w:rPr>
                <w:rFonts w:ascii="Univers;Arial" w:hAnsi="Univers;Arial" w:cs="Univers;Arial"/>
                <w:b/>
                <w:u w:val="single"/>
              </w:rPr>
            </w:pPr>
            <w:r>
              <w:rPr>
                <w:rFonts w:cs="Univers;Arial" w:ascii="Univers;Arial" w:hAnsi="Univers;Arial"/>
                <w:b/>
                <w:u w:val="single"/>
              </w:rPr>
            </w:r>
          </w:p>
        </w:tc>
      </w:tr>
    </w:tbl>
    <w:p>
      <w:pPr>
        <w:pStyle w:val="BodyText"/>
        <w:rPr/>
      </w:pPr>
      <w:r>
        <w:rPr/>
        <w:t>Price is indicative only and subject to Seller's verification.  This proposal is for discussion purposes only and is not complete and all inclusive of the terms of the related transaction.  It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  Any contract will only be created upon execution of a mutually acceptable agreement, containing all appropriate provisions, including, but not limited to, those relating to credit and limitation of damages and remedies and force majeure.</w:t>
      </w:r>
    </w:p>
    <w:sectPr>
      <w:headerReference w:type="default" r:id="rId2"/>
      <w:type w:val="nextPage"/>
      <w:pgSz w:w="12240" w:h="15840"/>
      <w:pgMar w:left="1080" w:right="1080" w:gutter="0" w:header="1440" w:top="1496"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CG Times (WN)">
    <w:charset w:val="00" w:characterSet="windows-1252"/>
    <w:family w:val="roman"/>
    <w:pitch w:val="variable"/>
  </w:font>
  <w:font w:name="Univer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u w:val="single"/>
      </w:rPr>
    </w:pPr>
    <w:r>
      <w:rPr>
        <w:b/>
        <w:sz w:val="24"/>
        <w:u w:val="single"/>
      </w:rPr>
      <w:t>CONFIDENTIAL</w:t>
    </w:r>
  </w:p>
  <w:p>
    <w:pPr>
      <w:pStyle w:val="Normal"/>
      <w:jc w:val="center"/>
      <w:rPr>
        <w:b/>
        <w:sz w:val="24"/>
        <w:u w:val="single"/>
      </w:rPr>
    </w:pPr>
    <w:r>
      <w:rPr>
        <w:b/>
        <w:sz w:val="24"/>
        <w:u w:val="single"/>
      </w:rPr>
    </w:r>
  </w:p>
  <w:p>
    <w:pPr>
      <w:pStyle w:val="Normal"/>
      <w:jc w:val="center"/>
      <w:rPr>
        <w:b/>
        <w:sz w:val="24"/>
      </w:rPr>
    </w:pPr>
    <w:r>
      <w:rPr>
        <w:b/>
        <w:sz w:val="24"/>
      </w:rPr>
      <w:t>Houston Pipe Line Company</w:t>
    </w:r>
  </w:p>
  <w:p>
    <w:pPr>
      <w:pStyle w:val="Normal"/>
      <w:jc w:val="center"/>
      <w:rPr>
        <w:sz w:val="24"/>
      </w:rPr>
    </w:pPr>
    <w:r>
      <w:rPr>
        <w:sz w:val="24"/>
      </w:rPr>
      <w:t>(“Seller”)</w:t>
    </w:r>
  </w:p>
  <w:p>
    <w:pPr>
      <w:pStyle w:val="Normal"/>
      <w:jc w:val="center"/>
      <w:rPr>
        <w:sz w:val="24"/>
      </w:rPr>
    </w:pPr>
    <w:r>
      <w:rPr>
        <w:sz w:val="24"/>
      </w:rPr>
    </w:r>
  </w:p>
  <w:p>
    <w:pPr>
      <w:pStyle w:val="Normal"/>
      <w:jc w:val="center"/>
      <w:rPr>
        <w:sz w:val="24"/>
      </w:rPr>
    </w:pPr>
    <w:r>
      <w:rPr>
        <w:sz w:val="24"/>
      </w:rPr>
      <w:t>Natural Gas Supply Proposal for</w:t>
    </w:r>
  </w:p>
  <w:p>
    <w:pPr>
      <w:pStyle w:val="Normal"/>
      <w:jc w:val="center"/>
      <w:rPr>
        <w:sz w:val="24"/>
      </w:rPr>
    </w:pPr>
    <w:r>
      <w:rPr>
        <w:sz w:val="24"/>
      </w:rPr>
    </w:r>
  </w:p>
  <w:p>
    <w:pPr>
      <w:pStyle w:val="Normal"/>
      <w:jc w:val="center"/>
      <w:rPr>
        <w:b/>
        <w:sz w:val="24"/>
      </w:rPr>
    </w:pPr>
    <w:r>
      <w:rPr>
        <w:b/>
        <w:sz w:val="24"/>
      </w:rPr>
      <w:t>Engelhard Corporation</w:t>
    </w:r>
  </w:p>
  <w:p>
    <w:pPr>
      <w:pStyle w:val="Normal"/>
      <w:jc w:val="center"/>
      <w:rPr>
        <w:sz w:val="24"/>
      </w:rPr>
    </w:pPr>
    <w:r>
      <w:rPr>
        <w:sz w:val="24"/>
      </w:rPr>
      <w:t>(“Buyer”)</w:t>
    </w:r>
  </w:p>
  <w:p>
    <w:pPr>
      <w:pStyle w:val="Normal"/>
      <w:jc w:val="center"/>
      <w:rPr>
        <w:sz w:val="24"/>
      </w:rPr>
    </w:pPr>
    <w:r>
      <w:rPr>
        <w:sz w:val="24"/>
      </w:rPr>
    </w:r>
  </w:p>
  <w:p>
    <w:pPr>
      <w:pStyle w:val="Normal"/>
      <w:jc w:val="center"/>
      <w:rPr>
        <w:sz w:val="24"/>
      </w:rPr>
    </w:pPr>
    <w:r>
      <w:rPr>
        <w:sz w:val="24"/>
      </w:rPr>
      <w:t>October 5, 2000</w:t>
    </w:r>
  </w:p>
  <w:p>
    <w:pPr>
      <w:pStyle w:val="Normal"/>
      <w:jc w:val="center"/>
      <w:rPr>
        <w:sz w:val="24"/>
      </w:rPr>
    </w:pPr>
    <w:r>
      <w:rPr>
        <w:sz w:val="24"/>
      </w:rPr>
    </w:r>
  </w:p>
  <w:p>
    <w:pPr>
      <w:pStyle w:val="Normal"/>
      <w:jc w:val="center"/>
      <w:rPr>
        <w:b/>
        <w:sz w:val="28"/>
      </w:rPr>
    </w:pPr>
    <w:r>
      <w:rPr>
        <w:b/>
        <w:sz w:val="28"/>
      </w:rPr>
      <w:t>** REVISED **</w:t>
    </w:r>
  </w:p>
  <w:p>
    <w:pPr>
      <w:pStyle w:val="Normal"/>
      <w:jc w:val="center"/>
      <w:rPr>
        <w:b/>
        <w:sz w:val="24"/>
      </w:rPr>
    </w:pPr>
    <w:r>
      <w:rPr>
        <w:b/>
        <w:sz w:val="24"/>
      </w:rPr>
    </w:r>
  </w:p>
  <w:p>
    <w:pPr>
      <w:pStyle w:val="Normal"/>
      <w:jc w:val="center"/>
      <w:rPr>
        <w:sz w:val="24"/>
      </w:rPr>
    </w:pPr>
    <w:r>
      <w:rPr>
        <w:sz w:val="24"/>
      </w:rPr>
    </w:r>
  </w:p>
  <w:p>
    <w:pPr>
      <w:pStyle w:val="Normal"/>
      <w:jc w:val="center"/>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paragraph" w:styleId="Heading4">
    <w:name w:val="heading 4"/>
    <w:basedOn w:val="Normal"/>
    <w:next w:val="NormalIndent"/>
    <w:qFormat/>
    <w:pPr>
      <w:numPr>
        <w:ilvl w:val="3"/>
        <w:numId w:val="1"/>
      </w:numPr>
      <w:ind w:hanging="0" w:start="360" w:end="0"/>
      <w:outlineLvl w:val="3"/>
    </w:pPr>
    <w:rPr>
      <w:rFonts w:ascii="CG Times (WN)" w:hAnsi="CG Times (WN)" w:cs="CG Times (WN)"/>
      <w:sz w:val="24"/>
      <w:u w:val="single"/>
    </w:rPr>
  </w:style>
  <w:style w:type="paragraph" w:styleId="Heading5">
    <w:name w:val="heading 5"/>
    <w:basedOn w:val="Normal"/>
    <w:next w:val="NormalIndent"/>
    <w:qFormat/>
    <w:pPr>
      <w:numPr>
        <w:ilvl w:val="4"/>
        <w:numId w:val="1"/>
      </w:numPr>
      <w:ind w:hanging="0" w:start="720" w:end="0"/>
      <w:outlineLvl w:val="4"/>
    </w:pPr>
    <w:rPr>
      <w:rFonts w:ascii="CG Times (WN)" w:hAnsi="CG Times (WN)" w:cs="CG Times (WN)"/>
      <w:b/>
      <w:sz w:val="20"/>
    </w:rPr>
  </w:style>
  <w:style w:type="paragraph" w:styleId="Heading6">
    <w:name w:val="heading 6"/>
    <w:basedOn w:val="Normal"/>
    <w:next w:val="NormalIndent"/>
    <w:qFormat/>
    <w:pPr>
      <w:numPr>
        <w:ilvl w:val="5"/>
        <w:numId w:val="1"/>
      </w:numPr>
      <w:ind w:hanging="0" w:start="720" w:end="0"/>
      <w:outlineLvl w:val="5"/>
    </w:pPr>
    <w:rPr>
      <w:rFonts w:ascii="CG Times (WN)" w:hAnsi="CG Times (WN)" w:cs="CG Times (WN)"/>
      <w:sz w:val="20"/>
      <w:u w:val="single"/>
    </w:rPr>
  </w:style>
  <w:style w:type="paragraph" w:styleId="Heading7">
    <w:name w:val="heading 7"/>
    <w:basedOn w:val="Normal"/>
    <w:next w:val="NormalIndent"/>
    <w:qFormat/>
    <w:pPr>
      <w:numPr>
        <w:ilvl w:val="6"/>
        <w:numId w:val="1"/>
      </w:numPr>
      <w:ind w:hanging="0" w:start="720" w:end="0"/>
      <w:outlineLvl w:val="6"/>
    </w:pPr>
    <w:rPr>
      <w:rFonts w:ascii="CG Times (WN)" w:hAnsi="CG Times (WN)" w:cs="CG Times (WN)"/>
      <w:i/>
      <w:sz w:val="20"/>
    </w:rPr>
  </w:style>
  <w:style w:type="paragraph" w:styleId="Heading8">
    <w:name w:val="heading 8"/>
    <w:basedOn w:val="Normal"/>
    <w:next w:val="NormalIndent"/>
    <w:qFormat/>
    <w:pPr>
      <w:numPr>
        <w:ilvl w:val="7"/>
        <w:numId w:val="1"/>
      </w:numPr>
      <w:ind w:hanging="0" w:start="720" w:end="0"/>
      <w:outlineLvl w:val="7"/>
    </w:pPr>
    <w:rPr>
      <w:rFonts w:ascii="CG Times (WN)" w:hAnsi="CG Times (WN)" w:cs="CG Times (WN)"/>
      <w:i/>
      <w:sz w:val="20"/>
    </w:rPr>
  </w:style>
  <w:style w:type="paragraph" w:styleId="Heading9">
    <w:name w:val="heading 9"/>
    <w:basedOn w:val="Normal"/>
    <w:next w:val="NormalIndent"/>
    <w:qFormat/>
    <w:pPr>
      <w:numPr>
        <w:ilvl w:val="8"/>
        <w:numId w:val="1"/>
      </w:numPr>
      <w:ind w:hanging="0" w:start="720" w:end="0"/>
      <w:outlineLvl w:val="8"/>
    </w:pPr>
    <w:rPr>
      <w:rFonts w:ascii="CG Times (WN)" w:hAnsi="CG Times (WN)" w:cs="CG Times (W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rPr>
      <w:b/>
      <w:sz w:val="24"/>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tabs>
        <w:tab w:val="clear" w:pos="360"/>
        <w:tab w:val="center" w:pos="4320" w:leader="none"/>
        <w:tab w:val="right" w:pos="8640" w:leader="none"/>
      </w:tabs>
    </w:pPr>
    <w:rPr/>
  </w:style>
  <w:style w:type="paragraph" w:styleId="Header">
    <w:name w:val="header"/>
    <w:basedOn w:val="Normal"/>
    <w:pPr>
      <w:tabs>
        <w:tab w:val="clear" w:pos="36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2000-10-05T16:40:00Z</dcterms:created>
  <dc:creator>ECT</dc:creator>
  <dc:description/>
  <dc:language>en-CA</dc:language>
  <cp:lastModifiedBy>Lee L. Papayoti</cp:lastModifiedBy>
  <cp:lastPrinted>1999-10-28T13:29:00Z</cp:lastPrinted>
  <dcterms:modified xsi:type="dcterms:W3CDTF">2000-10-05T16:41:00Z</dcterms:modified>
  <cp:revision>3</cp:revision>
  <dc:subject/>
  <dc:title>NATURAL GAS SUPPLY &amp; TRANSPORTATION</dc:title>
</cp:coreProperties>
</file>