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u w:val="single"/>
        </w:rPr>
      </w:pPr>
      <w:r>
        <w:rPr>
          <w:rFonts w:cs="Arial" w:ascii="Arial" w:hAnsi="Arial"/>
          <w:b/>
          <w:sz w:val="22"/>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pPr>
      <w:r>
        <w:rPr>
          <w:b/>
          <w:sz w:val="32"/>
        </w:rPr>
        <w:t>ENRON NORTH AMERICA CORP</w:t>
      </w:r>
      <w:r>
        <w:rPr>
          <w:b/>
        </w:rPr>
        <w:t>.</w:t>
      </w:r>
    </w:p>
    <w:p>
      <w:pPr>
        <w:pStyle w:val="Normal"/>
        <w:jc w:val="center"/>
        <w:rPr>
          <w:b/>
        </w:rPr>
      </w:pPr>
      <w:r>
        <w:rPr>
          <w:b/>
        </w:rPr>
      </w:r>
    </w:p>
    <w:p>
      <w:pPr>
        <w:pStyle w:val="Normal"/>
        <w:jc w:val="center"/>
        <w:rPr>
          <w:b/>
        </w:rPr>
      </w:pPr>
      <w:r>
        <w:rPr>
          <w:b/>
        </w:rPr>
        <w:t xml:space="preserve"> </w:t>
      </w:r>
    </w:p>
    <w:p>
      <w:pPr>
        <w:pStyle w:val="Normal"/>
        <w:jc w:val="center"/>
        <w:rPr>
          <w:b/>
          <w:sz w:val="32"/>
        </w:rPr>
      </w:pPr>
      <w:r>
        <w:rPr>
          <w:b/>
          <w:sz w:val="32"/>
        </w:rPr>
        <w:t>Energy Solutions Gas USA Inc.</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rPr>
      </w:pPr>
      <w:r>
        <w:rPr>
          <w:b/>
        </w:rPr>
        <w:t xml:space="preserve">SUMMARY OF CERTAIN TERMS AND CONDITIONS </w:t>
      </w:r>
    </w:p>
    <w:p>
      <w:pPr>
        <w:pStyle w:val="Normal"/>
        <w:jc w:val="center"/>
        <w:rPr>
          <w:b/>
        </w:rPr>
      </w:pPr>
      <w:r>
        <w:rPr>
          <w:b/>
        </w:rPr>
      </w:r>
    </w:p>
    <w:p>
      <w:pPr>
        <w:pStyle w:val="BodyText3"/>
        <w:rPr/>
      </w:pPr>
      <w:r>
        <w:rPr/>
        <w:t>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w:t>
      </w:r>
    </w:p>
    <w:p>
      <w:pPr>
        <w:pStyle w:val="Normal"/>
        <w:jc w:val="both"/>
        <w:rPr>
          <w:b/>
          <w:smallCaps/>
        </w:rPr>
      </w:pPr>
      <w:r>
        <w:rPr>
          <w:b/>
          <w:smallCaps/>
        </w:rPr>
      </w:r>
    </w:p>
    <w:p>
      <w:pPr>
        <w:pStyle w:val="Normal"/>
        <w:jc w:val="both"/>
        <w:rPr>
          <w:b/>
          <w:smallCaps/>
        </w:rPr>
      </w:pPr>
      <w:r>
        <w:rPr>
          <w:b/>
          <w:smallCaps/>
        </w:rPr>
      </w:r>
    </w:p>
    <w:p>
      <w:pPr>
        <w:pStyle w:val="Normal"/>
        <w:rPr>
          <w:b/>
          <w:smallCaps/>
        </w:rPr>
      </w:pPr>
      <w:r>
        <w:rPr>
          <w:b/>
          <w:smallCaps/>
        </w:rPr>
      </w:r>
    </w:p>
    <w:p>
      <w:pPr>
        <w:pStyle w:val="Heading2"/>
        <w:ind w:hanging="0" w:start="0"/>
        <w:rPr>
          <w:u w:val="single"/>
        </w:rPr>
      </w:pPr>
      <w:r>
        <w:rPr>
          <w:u w:val="single"/>
        </w:rPr>
        <w:t xml:space="preserve">Scope of Proposal </w:t>
      </w:r>
    </w:p>
    <w:p>
      <w:pPr>
        <w:pStyle w:val="Normal"/>
        <w:rPr>
          <w:sz w:val="22"/>
          <w:u w:val="single"/>
        </w:rPr>
      </w:pPr>
      <w:r>
        <w:rPr>
          <w:sz w:val="22"/>
          <w:u w:val="single"/>
        </w:rPr>
      </w:r>
    </w:p>
    <w:p>
      <w:pPr>
        <w:pStyle w:val="Normal"/>
        <w:rPr>
          <w:sz w:val="22"/>
        </w:rPr>
      </w:pPr>
      <w:r>
        <w:rPr>
          <w:sz w:val="22"/>
        </w:rPr>
      </w:r>
    </w:p>
    <w:p>
      <w:pPr>
        <w:pStyle w:val="Normal"/>
        <w:rPr>
          <w:b/>
          <w:smallCaps/>
        </w:rPr>
      </w:pPr>
      <w:r>
        <w:rPr>
          <w:i/>
          <w:iCs/>
          <w:sz w:val="22"/>
        </w:rPr>
        <w:t>During the “Period of Agreement”, Enron North America Corp. (“ENA”) will have the right to purchase between 0 MMbtu/day and 200,000 MMbtu/day of physical gas from Energy Solutions Gas USA Inc. (“ESG”) for Part 1, and Part 2. The volume, term and contract price shall form part of the proposed terms and conditions in this agreement. .</w:t>
      </w:r>
    </w:p>
    <w:p>
      <w:pPr>
        <w:pStyle w:val="Normal"/>
        <w:ind w:end="720"/>
        <w:rPr>
          <w:b/>
          <w:bCs/>
          <w:u w:val="single"/>
        </w:rPr>
      </w:pPr>
      <w:r>
        <w:rPr>
          <w:b/>
          <w:bCs/>
          <w:u w:val="single"/>
        </w:rPr>
        <w:t xml:space="preserve"> </w:t>
      </w:r>
    </w:p>
    <w:p>
      <w:pPr>
        <w:pStyle w:val="Normal"/>
        <w:ind w:end="720"/>
        <w:rPr>
          <w:b/>
          <w:bCs/>
          <w:u w:val="single"/>
        </w:rPr>
      </w:pPr>
      <w:r>
        <w:rPr>
          <w:b/>
          <w:bCs/>
          <w:u w:val="single"/>
        </w:rPr>
      </w:r>
    </w:p>
    <w:p>
      <w:pPr>
        <w:pStyle w:val="Normal"/>
        <w:ind w:end="720"/>
        <w:rPr>
          <w:b/>
          <w:bCs/>
          <w:u w:val="single"/>
        </w:rPr>
      </w:pPr>
      <w:r>
        <w:rPr>
          <w:b/>
          <w:bCs/>
          <w:u w:val="single"/>
        </w:rPr>
      </w:r>
    </w:p>
    <w:p>
      <w:pPr>
        <w:pStyle w:val="Header"/>
        <w:tabs>
          <w:tab w:val="clear" w:pos="4680"/>
          <w:tab w:val="clear" w:pos="9360"/>
        </w:tabs>
        <w:rPr>
          <w:b/>
          <w:bCs/>
          <w:u w:val="single"/>
        </w:rPr>
      </w:pPr>
      <w:r>
        <w:rPr>
          <w:b/>
          <w:bCs/>
          <w:u w:val="single"/>
        </w:rPr>
        <w:t xml:space="preserve">Part 1: </w:t>
      </w:r>
    </w:p>
    <w:p>
      <w:pPr>
        <w:pStyle w:val="Header"/>
        <w:tabs>
          <w:tab w:val="clear" w:pos="4680"/>
          <w:tab w:val="clear" w:pos="9360"/>
        </w:tabs>
        <w:rPr>
          <w:b/>
          <w:bCs/>
          <w:u w:val="single"/>
        </w:rPr>
      </w:pPr>
      <w:r>
        <w:rPr>
          <w:b/>
          <w:bCs/>
          <w:u w:val="single"/>
        </w:rPr>
      </w:r>
    </w:p>
    <w:p>
      <w:pPr>
        <w:pStyle w:val="Normal"/>
        <w:tabs>
          <w:tab w:val="clear" w:pos="720"/>
          <w:tab w:val="left" w:pos="2880" w:leader="none"/>
        </w:tabs>
        <w:rPr/>
      </w:pPr>
      <w:r>
        <w:rPr>
          <w:b/>
        </w:rPr>
        <w:t xml:space="preserve">Volume: </w:t>
        <w:tab/>
      </w:r>
      <w:r>
        <w:rPr>
          <w:bCs/>
        </w:rPr>
        <w:t>200,000 MMbtu/day</w:t>
      </w:r>
      <w:r>
        <w:rPr>
          <w:b/>
        </w:rPr>
        <w:t xml:space="preserve"> </w:t>
      </w:r>
      <w:r>
        <w:rPr/>
        <w:t xml:space="preserve"> </w:t>
      </w:r>
    </w:p>
    <w:p>
      <w:pPr>
        <w:pStyle w:val="Normal"/>
        <w:rPr>
          <w:b/>
        </w:rPr>
      </w:pPr>
      <w:r>
        <w:rPr>
          <w:b/>
        </w:rPr>
      </w:r>
    </w:p>
    <w:p>
      <w:pPr>
        <w:pStyle w:val="Normal"/>
        <w:rPr/>
      </w:pPr>
      <w:r>
        <w:rPr>
          <w:b/>
        </w:rPr>
        <w:t>Delivery Point:</w:t>
        <w:tab/>
        <w:tab/>
      </w:r>
      <w:r>
        <w:rPr>
          <w:bCs/>
        </w:rPr>
        <w:t>Socal/Topack via El Paso Natural Gas</w:t>
      </w:r>
      <w:r>
        <w:rPr/>
        <w:t xml:space="preserve"> </w:t>
      </w:r>
    </w:p>
    <w:p>
      <w:pPr>
        <w:pStyle w:val="Normal"/>
        <w:rPr>
          <w:b/>
        </w:rPr>
      </w:pPr>
      <w:r>
        <w:rPr>
          <w:b/>
        </w:rPr>
      </w:r>
    </w:p>
    <w:p>
      <w:pPr>
        <w:pStyle w:val="Normal"/>
        <w:rPr/>
      </w:pPr>
      <w:r>
        <w:rPr>
          <w:b/>
        </w:rPr>
        <w:t>Seller:</w:t>
        <w:tab/>
        <w:tab/>
        <w:tab/>
      </w:r>
      <w:r>
        <w:rPr/>
        <w:tab/>
        <w:t>ESG</w:t>
      </w:r>
    </w:p>
    <w:p>
      <w:pPr>
        <w:pStyle w:val="Normal"/>
        <w:rPr>
          <w:b/>
        </w:rPr>
      </w:pPr>
      <w:r>
        <w:rPr>
          <w:b/>
        </w:rPr>
      </w:r>
    </w:p>
    <w:p>
      <w:pPr>
        <w:pStyle w:val="Normal"/>
        <w:rPr/>
      </w:pPr>
      <w:r>
        <w:rPr>
          <w:b/>
        </w:rPr>
        <w:t>Purchaser:</w:t>
        <w:tab/>
        <w:tab/>
        <w:tab/>
      </w:r>
      <w:r>
        <w:rPr/>
        <w:t>Enron North America</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rPr>
        <w:t>Load Factor:</w:t>
      </w:r>
      <w:r>
        <w:rPr>
          <w:bCs/>
        </w:rPr>
        <w:tab/>
        <w:t xml:space="preserve">100% </w:t>
      </w:r>
    </w:p>
    <w:p>
      <w:pPr>
        <w:pStyle w:val="Normal"/>
        <w:tabs>
          <w:tab w:val="clear" w:pos="720"/>
          <w:tab w:val="left" w:pos="2880" w:leader="none"/>
        </w:tabs>
        <w:ind w:hanging="2880" w:start="2880" w:end="0"/>
        <w:rPr>
          <w:bCs/>
        </w:rPr>
      </w:pPr>
      <w:r>
        <w:rPr>
          <w:bCs/>
        </w:rPr>
      </w:r>
    </w:p>
    <w:p>
      <w:pPr>
        <w:pStyle w:val="Normal"/>
        <w:tabs>
          <w:tab w:val="clear" w:pos="720"/>
          <w:tab w:val="left" w:pos="2880" w:leader="none"/>
        </w:tabs>
        <w:ind w:hanging="2880" w:start="2880" w:end="0"/>
        <w:rPr/>
      </w:pPr>
      <w:r>
        <w:rPr>
          <w:b/>
        </w:rPr>
        <w:t>Term</w:t>
      </w:r>
      <w:r>
        <w:rPr/>
        <w:t>:</w:t>
        <w:tab/>
        <w:t xml:space="preserve">July 1, 2001 – July 31, 2001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bCs/>
        </w:rPr>
        <w:t>Contract Price:</w:t>
      </w:r>
      <w:r>
        <w:rPr/>
        <w:tab/>
        <w:t>The contract price shall be the Gas Daily Daily Index – Midpoint minus $ .055 US/MMbtu where : Gas Daily Daily Index shall mean the midpoint of the daily price under California border ( This language to be confirmed ).</w:t>
      </w:r>
    </w:p>
    <w:p>
      <w:pPr>
        <w:pStyle w:val="Normal"/>
        <w:tabs>
          <w:tab w:val="clear" w:pos="720"/>
          <w:tab w:val="left" w:pos="2880" w:leader="none"/>
        </w:tabs>
        <w:ind w:hanging="2880" w:start="2880" w:end="0"/>
        <w:rPr>
          <w:b/>
          <w:bCs/>
          <w:i/>
          <w:i/>
          <w:iCs/>
          <w:sz w:val="20"/>
        </w:rPr>
      </w:pPr>
      <w:r>
        <w:rPr>
          <w:b/>
          <w:bCs/>
          <w:i/>
          <w:iCs/>
          <w:sz w:val="20"/>
        </w:rPr>
      </w:r>
    </w:p>
    <w:p>
      <w:pPr>
        <w:pStyle w:val="Normal"/>
        <w:tabs>
          <w:tab w:val="clear" w:pos="720"/>
          <w:tab w:val="left" w:pos="2880" w:leader="none"/>
        </w:tabs>
        <w:ind w:hanging="2880" w:start="2880" w:end="0"/>
        <w:rPr>
          <w:b/>
          <w:bCs/>
          <w:i/>
          <w:i/>
          <w:iCs/>
          <w:sz w:val="20"/>
        </w:rPr>
      </w:pPr>
      <w:r>
        <w:rPr>
          <w:b/>
          <w:bCs/>
          <w:i/>
          <w:iCs/>
          <w:sz w:val="20"/>
        </w:rPr>
      </w:r>
    </w:p>
    <w:p>
      <w:pPr>
        <w:pStyle w:val="Header"/>
        <w:tabs>
          <w:tab w:val="clear" w:pos="4680"/>
          <w:tab w:val="clear" w:pos="9360"/>
        </w:tabs>
        <w:rPr>
          <w:b/>
          <w:bCs/>
          <w:i/>
          <w:i/>
          <w:iCs/>
          <w:sz w:val="20"/>
        </w:rPr>
      </w:pPr>
      <w:r>
        <w:rPr>
          <w:b/>
          <w:bCs/>
          <w:i/>
          <w:iCs/>
          <w:sz w:val="20"/>
        </w:rPr>
      </w:r>
    </w:p>
    <w:p>
      <w:pPr>
        <w:pStyle w:val="Header"/>
        <w:tabs>
          <w:tab w:val="clear" w:pos="4680"/>
          <w:tab w:val="clear" w:pos="9360"/>
        </w:tabs>
        <w:rPr/>
      </w:pPr>
      <w:r>
        <w:rPr/>
      </w:r>
    </w:p>
    <w:p>
      <w:pPr>
        <w:pStyle w:val="Header"/>
        <w:tabs>
          <w:tab w:val="clear" w:pos="4680"/>
          <w:tab w:val="clear" w:pos="9360"/>
        </w:tabs>
        <w:rPr/>
      </w:pPr>
      <w:r>
        <w:rPr/>
      </w:r>
    </w:p>
    <w:p>
      <w:pPr>
        <w:pStyle w:val="Header"/>
        <w:tabs>
          <w:tab w:val="clear" w:pos="4680"/>
          <w:tab w:val="clear" w:pos="9360"/>
        </w:tabs>
        <w:rPr/>
      </w:pPr>
      <w:r>
        <w:rPr/>
      </w:r>
    </w:p>
    <w:p>
      <w:pPr>
        <w:pStyle w:val="Header"/>
        <w:tabs>
          <w:tab w:val="clear" w:pos="4680"/>
          <w:tab w:val="clear" w:pos="9360"/>
        </w:tabs>
        <w:rPr>
          <w:b/>
          <w:bCs/>
          <w:u w:val="single"/>
        </w:rPr>
      </w:pPr>
      <w:r>
        <w:rPr>
          <w:b/>
          <w:bCs/>
          <w:u w:val="single"/>
        </w:rPr>
        <w:t>Part 2:</w:t>
      </w:r>
    </w:p>
    <w:p>
      <w:pPr>
        <w:pStyle w:val="Header"/>
        <w:tabs>
          <w:tab w:val="clear" w:pos="4680"/>
          <w:tab w:val="clear" w:pos="9360"/>
        </w:tabs>
        <w:rPr>
          <w:b/>
          <w:bCs/>
          <w:u w:val="single"/>
        </w:rPr>
      </w:pPr>
      <w:r>
        <w:rPr>
          <w:b/>
          <w:bCs/>
          <w:u w:val="single"/>
        </w:rPr>
      </w:r>
    </w:p>
    <w:p>
      <w:pPr>
        <w:pStyle w:val="Header"/>
        <w:tabs>
          <w:tab w:val="clear" w:pos="4680"/>
          <w:tab w:val="clear" w:pos="9360"/>
        </w:tabs>
        <w:rPr/>
      </w:pPr>
      <w:r>
        <w:rPr/>
      </w:r>
    </w:p>
    <w:p>
      <w:pPr>
        <w:pStyle w:val="Normal"/>
        <w:tabs>
          <w:tab w:val="clear" w:pos="720"/>
          <w:tab w:val="left" w:pos="2880" w:leader="none"/>
        </w:tabs>
        <w:rPr/>
      </w:pPr>
      <w:r>
        <w:rPr>
          <w:b/>
        </w:rPr>
        <w:t xml:space="preserve">Period of Agreement:  </w:t>
        <w:tab/>
      </w:r>
      <w:r>
        <w:rPr>
          <w:bCs/>
        </w:rPr>
        <w:t>June 26, 2001 – July 6, 2001</w:t>
      </w:r>
      <w:r>
        <w:rPr>
          <w:b/>
        </w:rPr>
        <w:t xml:space="preserve"> </w:t>
      </w:r>
    </w:p>
    <w:p>
      <w:pPr>
        <w:pStyle w:val="Normal"/>
        <w:tabs>
          <w:tab w:val="clear" w:pos="720"/>
          <w:tab w:val="left" w:pos="2880" w:leader="none"/>
        </w:tabs>
        <w:rPr>
          <w:b/>
        </w:rPr>
      </w:pPr>
      <w:r>
        <w:rPr>
          <w:b/>
        </w:rPr>
      </w:r>
    </w:p>
    <w:p>
      <w:pPr>
        <w:pStyle w:val="Normal"/>
        <w:tabs>
          <w:tab w:val="clear" w:pos="720"/>
          <w:tab w:val="left" w:pos="2880" w:leader="none"/>
        </w:tabs>
        <w:rPr>
          <w:b/>
        </w:rPr>
      </w:pPr>
      <w:r>
        <w:rPr>
          <w:b/>
        </w:rPr>
      </w:r>
    </w:p>
    <w:p>
      <w:pPr>
        <w:pStyle w:val="Normal"/>
        <w:tabs>
          <w:tab w:val="clear" w:pos="720"/>
          <w:tab w:val="left" w:pos="2880" w:leader="none"/>
        </w:tabs>
        <w:ind w:hanging="2880" w:start="2880" w:end="0"/>
        <w:rPr/>
      </w:pPr>
      <w:r>
        <w:rPr>
          <w:b/>
          <w:bCs/>
        </w:rPr>
        <w:t>Agreement:</w:t>
      </w:r>
      <w:r>
        <w:rPr/>
        <w:tab/>
        <w:t>During the Period of Agreement ESG will provide to ENA a open order which shall give ENA the exclusive right to purchase and  ESG shall have the firm obligation to sell physical volumes in increments of 5,000 MMbtu/day up to a maximum total volume per day of 200,000 MMbtu/d. The price that shall be paid for any volumes ( if any ) purchased by ENA shall be defined in the “Contract Price” of this document.</w:t>
      </w:r>
    </w:p>
    <w:p>
      <w:pPr>
        <w:pStyle w:val="Normal"/>
        <w:tabs>
          <w:tab w:val="clear" w:pos="720"/>
          <w:tab w:val="left" w:pos="2880" w:leader="none"/>
        </w:tabs>
        <w:ind w:hanging="2880" w:start="2880" w:end="0"/>
        <w:rPr/>
      </w:pPr>
      <w:r>
        <w:rPr/>
        <w:tab/>
        <w:t xml:space="preserve"> </w:t>
      </w:r>
    </w:p>
    <w:p>
      <w:pPr>
        <w:pStyle w:val="Normal"/>
        <w:tabs>
          <w:tab w:val="clear" w:pos="720"/>
          <w:tab w:val="left" w:pos="2880" w:leader="none"/>
        </w:tabs>
        <w:ind w:hanging="2880" w:start="2880" w:end="0"/>
        <w:rPr/>
      </w:pPr>
      <w:r>
        <w:rPr/>
        <w:tab/>
        <w:t>By facsimile ENA shall advise ESG as to the actual volume purchased (if any) by no later than 5:00 PM, Thursday July 5, 2001.</w:t>
      </w:r>
    </w:p>
    <w:p>
      <w:pPr>
        <w:pStyle w:val="Normal"/>
        <w:tabs>
          <w:tab w:val="clear" w:pos="720"/>
          <w:tab w:val="left" w:pos="2880" w:leader="none"/>
        </w:tabs>
        <w:ind w:hanging="2880" w:start="2880" w:end="0"/>
        <w:rPr/>
      </w:pPr>
      <w:r>
        <w:rPr/>
      </w:r>
    </w:p>
    <w:p>
      <w:pPr>
        <w:pStyle w:val="Normal"/>
        <w:tabs>
          <w:tab w:val="clear" w:pos="720"/>
          <w:tab w:val="left" w:pos="2880" w:leader="none"/>
        </w:tabs>
        <w:rPr/>
      </w:pPr>
      <w:r>
        <w:rPr>
          <w:b/>
        </w:rPr>
        <w:t xml:space="preserve">Volume: </w:t>
        <w:tab/>
      </w:r>
      <w:r>
        <w:rPr>
          <w:bCs/>
        </w:rPr>
        <w:t>0 – 200,000 MMbtu/day</w:t>
      </w:r>
      <w:r>
        <w:rPr>
          <w:b/>
        </w:rPr>
        <w:t xml:space="preserve"> </w:t>
      </w:r>
      <w:r>
        <w:rPr/>
        <w:t xml:space="preserve"> </w:t>
      </w:r>
    </w:p>
    <w:p>
      <w:pPr>
        <w:pStyle w:val="Normal"/>
        <w:rPr>
          <w:b/>
        </w:rPr>
      </w:pPr>
      <w:r>
        <w:rPr>
          <w:b/>
        </w:rPr>
      </w:r>
    </w:p>
    <w:p>
      <w:pPr>
        <w:pStyle w:val="Normal"/>
        <w:rPr/>
      </w:pPr>
      <w:r>
        <w:rPr>
          <w:b/>
        </w:rPr>
        <w:t>Delivery Point:</w:t>
        <w:tab/>
        <w:tab/>
      </w:r>
      <w:r>
        <w:rPr>
          <w:bCs/>
        </w:rPr>
        <w:t>Socal/Topack via El Paso Natural Gas</w:t>
      </w:r>
      <w:r>
        <w:rPr/>
        <w:t xml:space="preserve"> </w:t>
      </w:r>
    </w:p>
    <w:p>
      <w:pPr>
        <w:pStyle w:val="Normal"/>
        <w:rPr>
          <w:b/>
        </w:rPr>
      </w:pPr>
      <w:r>
        <w:rPr>
          <w:b/>
        </w:rPr>
      </w:r>
    </w:p>
    <w:p>
      <w:pPr>
        <w:pStyle w:val="Normal"/>
        <w:rPr/>
      </w:pPr>
      <w:r>
        <w:rPr>
          <w:b/>
        </w:rPr>
        <w:t>Recall Rights:</w:t>
        <w:tab/>
        <w:tab/>
      </w:r>
      <w:r>
        <w:rPr>
          <w:bCs/>
        </w:rPr>
        <w:t>No</w:t>
      </w:r>
    </w:p>
    <w:p>
      <w:pPr>
        <w:pStyle w:val="Normal"/>
        <w:rPr>
          <w:b/>
          <w:bCs/>
        </w:rPr>
      </w:pPr>
      <w:r>
        <w:rPr>
          <w:b/>
          <w:bCs/>
        </w:rPr>
      </w:r>
    </w:p>
    <w:p>
      <w:pPr>
        <w:pStyle w:val="Normal"/>
        <w:rPr/>
      </w:pPr>
      <w:r>
        <w:rPr>
          <w:b/>
        </w:rPr>
        <w:t>Seller:</w:t>
        <w:tab/>
        <w:tab/>
        <w:tab/>
      </w:r>
      <w:r>
        <w:rPr/>
        <w:tab/>
        <w:t>ESG</w:t>
      </w:r>
    </w:p>
    <w:p>
      <w:pPr>
        <w:pStyle w:val="Normal"/>
        <w:rPr>
          <w:b/>
        </w:rPr>
      </w:pPr>
      <w:r>
        <w:rPr>
          <w:b/>
        </w:rPr>
      </w:r>
    </w:p>
    <w:p>
      <w:pPr>
        <w:pStyle w:val="Normal"/>
        <w:rPr/>
      </w:pPr>
      <w:r>
        <w:rPr>
          <w:b/>
        </w:rPr>
        <w:t>Purchaser:</w:t>
        <w:tab/>
        <w:tab/>
        <w:tab/>
      </w:r>
      <w:r>
        <w:rPr/>
        <w:t>Enron North America</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rPr>
        <w:t>Transfer Fee:</w:t>
        <w:tab/>
      </w:r>
      <w:r>
        <w:rPr>
          <w:bCs/>
        </w:rPr>
        <w:t>None</w:t>
      </w:r>
    </w:p>
    <w:p>
      <w:pPr>
        <w:pStyle w:val="Normal"/>
        <w:tabs>
          <w:tab w:val="clear" w:pos="720"/>
          <w:tab w:val="left" w:pos="2880" w:leader="none"/>
        </w:tabs>
        <w:ind w:hanging="2880" w:start="2880" w:end="0"/>
        <w:rPr>
          <w:bCs/>
        </w:rPr>
      </w:pPr>
      <w:r>
        <w:rPr>
          <w:bCs/>
        </w:rPr>
      </w:r>
    </w:p>
    <w:p>
      <w:pPr>
        <w:pStyle w:val="Normal"/>
        <w:tabs>
          <w:tab w:val="clear" w:pos="720"/>
          <w:tab w:val="left" w:pos="2880" w:leader="none"/>
        </w:tabs>
        <w:ind w:hanging="2880" w:start="2880" w:end="0"/>
        <w:rPr/>
      </w:pPr>
      <w:r>
        <w:rPr>
          <w:b/>
        </w:rPr>
        <w:t>Load Factor:</w:t>
      </w:r>
      <w:r>
        <w:rPr>
          <w:bCs/>
        </w:rPr>
        <w:tab/>
        <w:t xml:space="preserve">100% </w:t>
      </w:r>
    </w:p>
    <w:p>
      <w:pPr>
        <w:pStyle w:val="Normal"/>
        <w:tabs>
          <w:tab w:val="clear" w:pos="720"/>
          <w:tab w:val="left" w:pos="2880" w:leader="none"/>
        </w:tabs>
        <w:ind w:hanging="2880" w:start="2880" w:end="0"/>
        <w:rPr>
          <w:bCs/>
        </w:rPr>
      </w:pPr>
      <w:r>
        <w:rPr>
          <w:bCs/>
        </w:rPr>
      </w:r>
    </w:p>
    <w:p>
      <w:pPr>
        <w:pStyle w:val="Normal"/>
        <w:tabs>
          <w:tab w:val="clear" w:pos="720"/>
          <w:tab w:val="left" w:pos="2880" w:leader="none"/>
        </w:tabs>
        <w:ind w:hanging="2880" w:start="2880" w:end="0"/>
        <w:rPr/>
      </w:pPr>
      <w:r>
        <w:rPr>
          <w:b/>
        </w:rPr>
        <w:t xml:space="preserve">Period of Delivery: </w:t>
      </w:r>
      <w:r>
        <w:rPr/>
        <w:tab/>
        <w:t>August 1, 2001 – June 30, 2002</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bCs/>
        </w:rPr>
        <w:t>Contract Price:</w:t>
      </w:r>
      <w:r>
        <w:rPr/>
        <w:tab/>
        <w:t xml:space="preserve">The contract price shall be the NGI Socal Monthly Index minus     $ .05 US/MMbtu where: </w:t>
      </w:r>
      <w:r>
        <w:rPr>
          <w:i/>
          <w:iCs/>
          <w:sz w:val="20"/>
        </w:rPr>
        <w:t xml:space="preserve">NGI Socal Monthly Index in the first issue of the delivery Month, in the table titled “California Border”, on the line titled “Southern California Border”.  </w:t>
      </w:r>
    </w:p>
    <w:p>
      <w:pPr>
        <w:pStyle w:val="Normal"/>
        <w:tabs>
          <w:tab w:val="clear" w:pos="720"/>
          <w:tab w:val="left" w:pos="2880" w:leader="none"/>
        </w:tabs>
        <w:ind w:hanging="2880" w:start="2880" w:end="0"/>
        <w:rPr>
          <w:b/>
          <w:bCs/>
          <w:i/>
          <w:i/>
          <w:iCs/>
          <w:sz w:val="20"/>
        </w:rPr>
      </w:pPr>
      <w:r>
        <w:rPr>
          <w:b/>
          <w:bCs/>
          <w:i/>
          <w:iCs/>
          <w:sz w:val="20"/>
        </w:rPr>
      </w:r>
    </w:p>
    <w:p>
      <w:pPr>
        <w:pStyle w:val="Normal"/>
        <w:tabs>
          <w:tab w:val="clear" w:pos="720"/>
          <w:tab w:val="left" w:pos="2880" w:leader="none"/>
        </w:tabs>
        <w:ind w:hanging="2880" w:start="2880" w:end="0"/>
        <w:rPr/>
      </w:pPr>
      <w:r>
        <w:rPr>
          <w:b/>
          <w:bCs/>
        </w:rPr>
        <w:t>Termination:</w:t>
      </w:r>
      <w:r>
        <w:rPr/>
        <w:tab/>
        <w:t>Neither party may terminate this agreement until 5:01 PM on July 6, 2001.</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bCs/>
        </w:rPr>
        <w:t>Extention of Agreement</w:t>
      </w:r>
      <w:r>
        <w:rPr/>
        <w:t>:</w:t>
        <w:tab/>
        <w:t>Neither party shall have the right to extend the period of agreement without prior written and verbal consent of the Parties.</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rPr>
        <w:t>Other:</w:t>
      </w:r>
      <w:r>
        <w:rPr/>
        <w:tab/>
        <w:t>(a) ESG shall provide to ENA all third party purchase and sale agreements related to the upstream supply prior to the execution of the definitive agreements.</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 xml:space="preserve">(b) ENA shall withhold payment of $ 5,000,000 US funds for the term of the agreement ( Part 2 ).  Upon completion of this agreement and final settlement ENA shall pay the funds being withheld plus interest. Int. amount TBD.  </w:t>
      </w:r>
    </w:p>
    <w:p>
      <w:pPr>
        <w:pStyle w:val="BodyText"/>
        <w:ind w:hanging="1800" w:start="2160" w:end="720"/>
        <w:rPr/>
      </w:pPr>
      <w:r>
        <w:rPr/>
      </w:r>
    </w:p>
    <w:p>
      <w:pPr>
        <w:pStyle w:val="BodyText"/>
        <w:ind w:hanging="1800" w:start="2160" w:end="720"/>
        <w:rPr/>
      </w:pPr>
      <w:r>
        <w:rPr/>
      </w:r>
    </w:p>
    <w:p>
      <w:pPr>
        <w:pStyle w:val="BodyText"/>
        <w:ind w:hanging="1800" w:start="2160" w:end="720"/>
        <w:rPr/>
      </w:pPr>
      <w:r>
        <w:rPr/>
      </w:r>
    </w:p>
    <w:p>
      <w:pPr>
        <w:pStyle w:val="BodyText"/>
        <w:ind w:hanging="1800" w:start="2160" w:end="720"/>
        <w:rPr/>
      </w:pPr>
      <w:r>
        <w:rPr/>
      </w:r>
    </w:p>
    <w:p>
      <w:pPr>
        <w:pStyle w:val="BodyText"/>
        <w:ind w:hanging="1800" w:start="2160" w:end="720"/>
        <w:rPr/>
      </w:pPr>
      <w:r>
        <w:rPr/>
      </w:r>
    </w:p>
    <w:p>
      <w:pPr>
        <w:pStyle w:val="BodyText"/>
        <w:rPr/>
      </w:pPr>
      <w:r>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BodyText"/>
        <w:ind w:hanging="1080" w:start="1440" w:end="720"/>
        <w:rPr>
          <w:b/>
          <w:bCs/>
          <w:u w:val="single"/>
        </w:rPr>
      </w:pPr>
      <w:r>
        <w:rPr>
          <w:b/>
          <w:bCs/>
          <w:u w:val="single"/>
        </w:rPr>
      </w:r>
    </w:p>
    <w:p>
      <w:pPr>
        <w:pStyle w:val="Normal"/>
        <w:ind w:end="720"/>
        <w:rPr>
          <w:b/>
          <w:bCs/>
          <w:u w:val="single"/>
        </w:rPr>
      </w:pPr>
      <w:r>
        <w:rPr>
          <w:b/>
          <w:bCs/>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energysolutions</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ind w:hanging="0" w:start="0" w:end="720"/>
      <w:outlineLvl w:val="3"/>
    </w:pPr>
    <w:rPr>
      <w:b/>
      <w:bCs/>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2001-06-25T13:11:00Z</dcterms:created>
  <dc:creator>David R. Keyes</dc:creator>
  <dc:description/>
  <dc:language>en-CA</dc:language>
  <cp:lastModifiedBy>btychol</cp:lastModifiedBy>
  <cp:lastPrinted>2001-06-25T12:00:00Z</cp:lastPrinted>
  <dcterms:modified xsi:type="dcterms:W3CDTF">2001-06-25T19:27:00Z</dcterms:modified>
  <cp:revision>5</cp:revision>
  <dc:subject/>
  <dc:title>SUMMARY OF TERMS AND CONDITIONS</dc:title>
</cp:coreProperties>
</file>