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spacing w:before="240" w:after="60"/>
        <w:ind w:hanging="0" w:start="720" w:end="0"/>
        <w:jc w:val="center"/>
        <w:rPr>
          <w:rFonts w:ascii="Frutiger 55 Roman" w:hAnsi="Frutiger 55 Roman" w:cs="Times New Roman"/>
          <w:bCs w:val="false"/>
          <w:i w:val="false"/>
          <w:i w:val="false"/>
          <w:iCs w:val="false"/>
          <w:sz w:val="48"/>
          <w:szCs w:val="24"/>
        </w:rPr>
      </w:pPr>
      <w:r>
        <w:rPr>
          <w:rFonts w:cs="Times New Roman" w:ascii="Frutiger 55 Roman" w:hAnsi="Frutiger 55 Roman"/>
          <w:bCs w:val="false"/>
          <w:i w:val="false"/>
          <w:iCs w:val="false"/>
          <w:sz w:val="48"/>
          <w:szCs w:val="24"/>
        </w:rPr>
        <w:t>Responses to the Nation’s Energy Crunch</w:t>
      </w:r>
    </w:p>
    <w:p>
      <w:pPr>
        <w:pStyle w:val="TOC1"/>
        <w:rPr>
          <w:rFonts w:ascii="Frutiger 55 Roman" w:hAnsi="Frutiger 55 Roman" w:cs="Times New Roman"/>
          <w:bCs/>
          <w:i/>
          <w:i/>
          <w:iCs/>
          <w:sz w:val="48"/>
          <w:szCs w:val="24"/>
        </w:rPr>
      </w:pPr>
      <w:r>
        <w:rPr>
          <w:rFonts w:cs="Times New Roman" w:ascii="Frutiger 55 Roman" w:hAnsi="Frutiger 55 Roman"/>
          <w:bCs/>
          <w:i/>
          <w:iCs/>
          <w:sz w:val="48"/>
          <w:szCs w:val="24"/>
        </w:rPr>
      </w:r>
    </w:p>
    <w:p>
      <w:pPr>
        <w:pStyle w:val="Normal"/>
        <w:jc w:val="both"/>
        <w:rPr>
          <w:rFonts w:ascii="Frutiger 45 Light" w:hAnsi="Frutiger 45 Light" w:cs="Frutiger 45 Light"/>
        </w:rPr>
      </w:pPr>
      <w:r>
        <w:rPr>
          <w:rFonts w:cs="Frutiger 45 Light" w:ascii="Frutiger 45 Light" w:hAnsi="Frutiger 45 Light"/>
        </w:rPr>
        <w:t>The United States economy has seen another period of discomfort with its energy sector over the past 18 to 24 months.  State and federal regulators and politicians have become a target of public ire.  From the depths of recent historic lows, crude oil prices soared to near-historic highs.  Gasoline prices followed, providing relief to refiners who had suffered through a long drought in profitability.  Natural gas fundamentals had to be rethought as doubts arose about deliverability.  But disruptions in electric power, particularly in California, attracted the most attention, and have forced a reconsideration of some of the basic assumptions underlying industry restructuring.</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 xml:space="preserve">George W. Bush assumed the presidency with expectations firmly established about his energy policy.  Declaring a state of crisis, the new administration quickly completed a review of U.S. energy issues and development, producing a report it hoped would frame a comprehensive energy policy bill in Congress.  Vice President Dick Cheney chaired the National Energy Policy Development Group that produced the report. </w:t>
      </w:r>
      <w:r>
        <mc:AlternateContent>
          <mc:Choice Requires="wps">
            <w:drawing>
              <wp:anchor behindDoc="1" distT="0" distB="0" distL="114935" distR="114935" simplePos="0" locked="0" layoutInCell="0" allowOverlap="1" relativeHeight="2">
                <wp:simplePos x="0" y="0"/>
                <wp:positionH relativeFrom="column">
                  <wp:posOffset>2622550</wp:posOffset>
                </wp:positionH>
                <wp:positionV relativeFrom="paragraph">
                  <wp:posOffset>481330</wp:posOffset>
                </wp:positionV>
                <wp:extent cx="2870200" cy="1052195"/>
                <wp:effectExtent l="0" t="0" r="0" b="0"/>
                <wp:wrapSquare wrapText="bothSides"/>
                <wp:docPr id="1" name="Frame1"/>
                <a:graphic xmlns:a="http://schemas.openxmlformats.org/drawingml/2006/main">
                  <a:graphicData uri="http://schemas.microsoft.com/office/word/2010/wordprocessingShape">
                    <wps:wsp>
                      <wps:cNvSpPr txBox="1"/>
                      <wps:spPr>
                        <a:xfrm>
                          <a:off x="0" y="0"/>
                          <a:ext cx="2870200" cy="1052195"/>
                        </a:xfrm>
                        <a:prstGeom prst="rect"/>
                        <a:solidFill>
                          <a:srgbClr val="FFFFFF"/>
                        </a:solidFill>
                        <a:ln w="12700">
                          <a:solidFill>
                            <a:srgbClr val="000000"/>
                          </a:solidFill>
                        </a:ln>
                      </wps:spPr>
                      <wps:txbx>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As of midsummer 2001, roughly 50 legislative proposals were made to Congress, dealing with various aspects of energy policy.</w:t>
                            </w:r>
                          </w:p>
                        </w:txbxContent>
                      </wps:txbx>
                      <wps:bodyPr anchor="t" lIns="78740" tIns="33020" rIns="78740" bIns="33020">
                        <a:noAutofit/>
                      </wps:bodyPr>
                    </wps:wsp>
                  </a:graphicData>
                </a:graphic>
              </wp:anchor>
            </w:drawing>
          </mc:Choice>
          <mc:Fallback>
            <w:pict>
              <v:rect fillcolor="#FFFFFF" strokecolor="#000000" strokeweight="1pt" style="position:absolute;rotation:-0;width:226pt;height:82.85pt;mso-wrap-distance-left:9.05pt;mso-wrap-distance-right:9.05pt;mso-wrap-distance-top:0pt;mso-wrap-distance-bottom:0pt;margin-top:37.9pt;mso-position-vertical-relative:text;margin-left:206.5pt;mso-position-horizontal-relative:text">
                <v:textbox inset="0.0861111111111111in,0.0361111111111111in,0.0861111111111111in,0.0361111111111111in">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As of midsummer 2001, roughly 50 legislative proposals were made to Congress, dealing with various aspects of energy policy.</w:t>
                      </w:r>
                    </w:p>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During the early summer months of 2001, adjustments took place that altered the dynamics of the energy policy debate.  The effects of both energy developers and suppliers responding to high price signals, the reduction of demand by consumers and a general slowdown in the U.S. economy, cooled energy markets.  Electricity, natural gas, and gasoline prices failed to hit the historic highs originally forecast in late spring.  The exception was crude oil, as the Organization of Petroleum Exporting Countries (OPEC) continued to cut production quotas, deciding on 25 July to remove an additional one million barrels per day (bpd) of oil from the market.  Production cuts during 2001 have totaled roughly four million bpd.</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Along with market adjustments, the political scene also has changed.  A shift in control of the U.S. Senate, disagreements among and between states, and with the federal government on sovereignty issues, have changed the dynamic of the administration’s initial energy policy push.</w:t>
      </w:r>
    </w:p>
    <w:p>
      <w:pPr>
        <w:pStyle w:val="Heading1"/>
        <w:ind w:hanging="0" w:start="0"/>
        <w:rPr>
          <w:sz w:val="24"/>
        </w:rPr>
      </w:pPr>
      <w:r>
        <w:rPr/>
        <w:t>Energy policy initiatives and legislation</w:t>
      </w:r>
    </w:p>
    <w:p>
      <w:pPr>
        <w:pStyle w:val="Normal"/>
        <w:jc w:val="both"/>
        <w:rPr>
          <w:rFonts w:ascii="Frutiger 45 Light" w:hAnsi="Frutiger 45 Light" w:cs="Frutiger 45 Light"/>
        </w:rPr>
      </w:pPr>
      <w:r>
        <w:rPr>
          <w:rFonts w:cs="Frutiger 45 Light" w:ascii="Frutiger 45 Light" w:hAnsi="Frutiger 45 Light"/>
        </w:rPr>
        <w:t>As of midsummer 2001, roughly 50 legislative proposals were made to Congress, dealing with various aspects of energy policy.  These included the recommendations advanced by the Bush Administration in its National Energy Plan (NEP).  Several states have undertaken actions that either continue initiatives already underway or address specific issues.  Most visible among state activities are those related to electric power restructuring.  A number of state governments and agencies have moved to invigorate energy conservation and efficiency programs, and to address energy infrastructure constraints within their borders.  Finally, several outside groups, representing an array of interests and industry segments, have conducted studies and offered their own proposals to influence the debate.</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pPr>
      <w:r>
        <w:rPr>
          <w:rFonts w:cs="Frutiger 45 Light" w:ascii="Frutiger 45 Light" w:hAnsi="Frutiger 45 Light"/>
        </w:rPr>
        <w:t xml:space="preserve">The national debate is largely being driven by the Bush team’s study, </w:t>
      </w:r>
      <w:r>
        <w:rPr>
          <w:rFonts w:cs="Frutiger 45 Light" w:ascii="Frutiger 45 Light" w:hAnsi="Frutiger 45 Light"/>
          <w:i/>
        </w:rPr>
        <w:t>Reliable, Affordable and Environmentally Sound Energy for America’s Future</w:t>
      </w:r>
      <w:r>
        <w:rPr>
          <w:rFonts w:cs="Frutiger 45 Light" w:ascii="Frutiger 45 Light" w:hAnsi="Frutiger 45 Light"/>
        </w:rPr>
        <w:t>, issued in May 2001.  Most notably, the report recommended:</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Facilitating access to public lands, including the Alaska National Wildlife Refuge (ANWR) for oil and gas exploration (and with expedited permits for oil and gas pipeline expansions and additions to transport Alaskan production); and</w:t>
      </w:r>
    </w:p>
    <w:p>
      <w:pPr>
        <w:pStyle w:val="Normal"/>
        <w:ind w:start="60" w:end="0"/>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R&amp;D for oil and gas and “clean coal” technology;</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Permitting new nuclear power plants and improving nuclear waste disposal technology and processes;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Expediting permitting for new hydroelectric facilities and passing comprehensive electric power legislation to open markets;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Reforming the Public Utilities Regulatory Policies Act (PURPA);</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Repealing the Public Utilities Holding Company Act (PUHCA), at the same time giving FERC greater power to address market power issues;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Supporting the expansion of the country’s nuclear generating capacity;</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Working to remove interstate electricity transmission constraints, transmission expansion, use of rates that encourage economic grid expansion, and possible establishment of a national grid;</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Authorizing the Western Area Power Administration to investigate ways to relieve transmission constraints at the “Path 15” transmission link between Northern and Southern California; and</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tabs>
          <w:tab w:val="clear" w:pos="720"/>
          <w:tab w:val="left" w:pos="420" w:leader="none"/>
        </w:tabs>
        <w:ind w:hanging="360" w:start="420" w:end="0"/>
        <w:jc w:val="both"/>
        <w:rPr>
          <w:rFonts w:ascii="Frutiger 45 Light" w:hAnsi="Frutiger 45 Light" w:cs="Frutiger 45 Light"/>
        </w:rPr>
      </w:pPr>
      <w:r>
        <w:rPr>
          <w:rFonts w:cs="Frutiger 45 Light" w:ascii="Frutiger 45 Light" w:hAnsi="Frutiger 45 Light"/>
        </w:rPr>
        <w:t>Developing legislation that will create a “self-regulatory organization” under FERC jurisdiction, to oversee and enforce reliability requirements on the nation’s power grid.</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Elsewhere, the NEP also contains recommendations for environmental and consumer protections, energy conservation and efficiency, and improving bilateral and multilateral relationships between the United States and critical energy-producing countries.</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pPr>
      <w:r>
        <w:rPr>
          <w:rFonts w:cs="Frutiger 45 Light" w:ascii="Frutiger 45 Light" w:hAnsi="Frutiger 45 Light"/>
        </w:rPr>
        <w:t xml:space="preserve">The House leadership scored a coup with the inclusion of many recommendations from the NEP in HR 4, the “Securing America's Future Energy (SAFE) Act of 2001,” which was passed by the House on 2 August.  Also among HR4’s provisions are a number of items that did not originate with the NEP, including household appliance efficiency standards and an increase in fuel economy standards for SUVs.  The massive bill includes the following (synopsis from “Bush’s Energy Plan is Endorsed by House,” </w:t>
      </w:r>
      <w:r>
        <w:rPr>
          <w:rFonts w:cs="Frutiger 45 Light" w:ascii="Frutiger 45 Light" w:hAnsi="Frutiger 45 Light"/>
          <w:i/>
        </w:rPr>
        <w:t>The Washington Post</w:t>
      </w:r>
      <w:r>
        <w:rPr>
          <w:rFonts w:cs="Frutiger 45 Light" w:ascii="Frutiger 45 Light" w:hAnsi="Frutiger 45 Light"/>
        </w:rPr>
        <w:t>, August 2, 2001):</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$33.5 billion in tax cuts and incentives over 10 years to encourage oil, gas, "clean" coal and nuclear energy production and conservation measures.</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Authorization for drilling for oil and gas in Alaska's Arctic National Wildlife Refuge.  Royalty relief incentive for deepwater leases in central and western Gulf of Mexico.</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Easing of restrictions on energy production on federal lands. Does not open any particular national park, monument or wilderness area to drilling or mining.</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Commissions the National Academy of Sciences to study optimization of oil and gas supplies and establishes review of impediments to oil and gas leasing of onshore federal lands.</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Makes a modest increase in the fuel economy standards for sport-utility vehicles and other light trucks and imposes mandatory energy efficiency for federal buildings.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Increases funding for the home energy assistance and weatherization programs for low-income families.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Funds nuclear energy research, including fuel reprocessing.</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Debate and voting on amendments to HR 4 surprised many analysts and observers.  Approval of even a more narrowly defined geographic area for ANWR was not expected. But the role of labor unions, lured by the prospect of increased jobs in a weaker U.S. economy, was acknowledged to have changed the vote calculus.  Likewise, a softer stance on fuel economy was not expected.</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Expectations as of end-August 2001 were that compromise legislation would develop slowly.  Dealing with the energy crisis is now a less urgent issue, and both public apathy and opposition to many ideas supported by the Administration are thought to remain hurdles for the developing legislation.  Energized by the House, the Bush team has tried to invigorate public interest in and support of its proposals.  Vice President Cheney has remarked publicly on his expectation that energy legislation will be achieved by the end of the year.</w:t>
      </w:r>
    </w:p>
    <w:p>
      <w:pPr>
        <w:pStyle w:val="Heading1"/>
        <w:ind w:hanging="0" w:start="0"/>
        <w:rPr>
          <w:rFonts w:ascii="Frutiger 45 Light" w:hAnsi="Frutiger 45 Light" w:cs="Frutiger 45 Light"/>
          <w:sz w:val="24"/>
        </w:rPr>
      </w:pPr>
      <w:r>
        <w:rPr>
          <w:rFonts w:cs="Frutiger 45 Light" w:ascii="Frutiger 45 Light" w:hAnsi="Frutiger 45 Light"/>
        </w:rPr>
        <w:t>Energy politics</w:t>
      </w:r>
    </w:p>
    <w:p>
      <w:pPr>
        <w:pStyle w:val="Normal"/>
        <w:jc w:val="both"/>
        <w:rPr>
          <w:rFonts w:ascii="Frutiger 45 Light" w:hAnsi="Frutiger 45 Light" w:cs="Frutiger 45 Light"/>
        </w:rPr>
      </w:pPr>
      <w:r>
        <w:rPr>
          <w:rFonts w:cs="Frutiger 45 Light" w:ascii="Frutiger 45 Light" w:hAnsi="Frutiger 45 Light"/>
        </w:rPr>
        <w:t>In many respects, opportunities at the federal level to influence energy policy are constrained, and have always been so.  The areas that received the most attention are access to public lands, energy technology R&amp;D and the streamlining of administrative agency processes (Federal agency initiatives to create competitive interstate markets and to apply environmental standards would fall into this category).  State and local jurisdictions have substantial powers in siting and permitting energy resource development and infrastructure, implementing environmental rules and regulations (including those initiated at the federal level), production rates for oil and gas fields that involve non-federal lands, rights-of-way for transportation that is not for interstate commerce and most notably the setting of end user pricing.  The federal government, on the other hand, can use eminent domain for interstate oil and gas pipelines, and may ask for eminent domain authority for high voltage electric power transmission lines.</w:t>
      </w:r>
      <w:r>
        <mc:AlternateContent>
          <mc:Choice Requires="wps">
            <w:drawing>
              <wp:anchor behindDoc="1" distT="0" distB="0" distL="114935" distR="114935" simplePos="0" locked="0" layoutInCell="0" allowOverlap="1" relativeHeight="3">
                <wp:simplePos x="0" y="0"/>
                <wp:positionH relativeFrom="column">
                  <wp:posOffset>2508250</wp:posOffset>
                </wp:positionH>
                <wp:positionV relativeFrom="paragraph">
                  <wp:posOffset>806450</wp:posOffset>
                </wp:positionV>
                <wp:extent cx="3327400" cy="178562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3327400" cy="1785620"/>
                        </a:xfrm>
                        <a:prstGeom prst="rect"/>
                        <a:solidFill>
                          <a:srgbClr val="FFFFFF"/>
                        </a:solidFill>
                        <a:ln w="12700">
                          <a:solidFill>
                            <a:srgbClr val="000000"/>
                          </a:solidFill>
                        </a:ln>
                      </wps:spPr>
                      <wps:txbx>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Gallup polling in April 2000 showed that 90 percent of respondents ranked energy as “very” or “fairly serious” as compared to 84 percent during the Persian Gulf War in 1991.  Sixty-nine percent named “protection of the environment” as a priority.</w:t>
                            </w:r>
                          </w:p>
                        </w:txbxContent>
                      </wps:txbx>
                      <wps:bodyPr anchor="t" lIns="78740" tIns="33020" rIns="78740" bIns="33020">
                        <a:noAutofit/>
                      </wps:bodyPr>
                    </wps:wsp>
                  </a:graphicData>
                </a:graphic>
              </wp:anchor>
            </w:drawing>
          </mc:Choice>
          <mc:Fallback>
            <w:pict>
              <v:rect fillcolor="#FFFFFF" strokecolor="#000000" strokeweight="1pt" style="position:absolute;rotation:-0;width:262pt;height:140.6pt;mso-wrap-distance-left:9.05pt;mso-wrap-distance-right:9.05pt;mso-wrap-distance-top:0pt;mso-wrap-distance-bottom:0pt;margin-top:63.5pt;mso-position-vertical-relative:text;margin-left:197.5pt;mso-position-horizontal-relative:text">
                <v:textbox inset="0.0861111111111111in,0.0361111111111111in,0.0861111111111111in,0.0361111111111111in">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Gallup polling in April 2000 showed that 90 percent of respondents ranked energy as “very” or “fairly serious” as compared to 84 percent during the Persian Gulf War in 1991.  Sixty-nine percent named “protection of the environment” as a priority.</w:t>
                      </w:r>
                    </w:p>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It is inevitable that federal energy initiatives will come under scrutiny by state and local jurisdictions.  This is especially true in dealing with access to lands and government agency processes.  In these arenas, sharp conflicts stem from competing land uses, including the implications for water resources and different values of environmental preservation and energy development.  Because of extensive federal land ownership in the U.S. West, federal energy initiatives have the most impact there.  Demographic changes, however, such as increased urbanization coupled with increased demand to use lands for recreation, are altering the traditional alliances among ranching, hydrocarbons and mining that had dictated policies in the past.  Consequently, the Bush Administration’s goal of accelerated resource development in the West is not uniformly supported there.</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To many, the debate over ANWR mirrors the conflict between the energy industry and environmental interests.  Recent public opinion samples taken by Gallup have proven consistent with data collected throughout the past 20 years.  In March 2001, public opposition to development in ANWR had barely wavered and remained well above 50 percent.  At the same time, public opinion remained strongly in favor of conservation over energy production and environmental protection over energy production (both also well above 50 percent).  Polling in April 2000 ahead of national elections showed that while concerns regarding energy security had increased (90 percent of respondents ranked energy as “very” or “fairly serious” as compared to 84 percent during the Persian Gulf War in 1991), 69 percent named “protection of the environment” as a priority, a level firmly in the long-established range of 62-71 percent.</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 xml:space="preserve">The NEP was subject to early and persistent criticism that focused excessively on increasing energy supply while ignoring conservation and efficiency, and that it was merely a vehicle for a new attempt to open ANWR.  Many pundits and editorialists noted that increasing hydrocarbon reserves in Alaska in future years was meaningless in meeting California’s present need for electricity.  Others say that opening ANWR was never intended to address the electricity crisis in California or anywhere else.  </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R&amp;D also remains an important element of the energy policy options discussed in Congress.  Competition among state and local jurisdictions for these federal monies can be stiff.  New initiatives can be stalled when R&amp;D expenditures seem to benefit a particular fuel, energy industry segment or class of utility customer.  Perceptions that federal spending has become more or less favorable to conservation, compared to energy production, could intensify those conflicts.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Frutiger 55 Roman">
    <w:charset w:val="00" w:characterSet="windows-1252"/>
    <w:family w:val="swiss"/>
    <w:pitch w:val="variable"/>
  </w:font>
  <w:font w:name="Palatino Linotyp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9523"/>
      <w:gridCol w:w="557"/>
    </w:tblGrid>
    <w:tr>
      <w:trPr/>
      <w:tc>
        <w:tcPr>
          <w:tcW w:w="9523" w:type="dxa"/>
          <w:tcBorders/>
        </w:tcPr>
        <w:p>
          <w:pPr>
            <w:pStyle w:val="Footer"/>
            <w:snapToGrid w:val="false"/>
            <w:rPr>
              <w:rFonts w:ascii="Frutiger 45 Light" w:hAnsi="Frutiger 45 Light" w:cs="Frutiger 45 Light"/>
              <w:b/>
            </w:rPr>
          </w:pPr>
          <w:r>
            <w:rPr>
              <w:rFonts w:cs="Frutiger 45 Light" w:ascii="Frutiger 45 Light" w:hAnsi="Frutiger 45 Light"/>
              <w:b/>
            </w:rPr>
          </w:r>
        </w:p>
      </w:tc>
      <w:tc>
        <w:tcPr>
          <w:tcW w:w="557" w:type="dxa"/>
          <w:tcBorders/>
        </w:tcPr>
        <w:p>
          <w:pPr>
            <w:pStyle w:val="Footer"/>
            <w:snapToGrid w:val="false"/>
            <w:jc w:val="end"/>
            <w:rPr>
              <w:rStyle w:val="PageNumber"/>
              <w:rFonts w:ascii="Frutiger 45 Light" w:hAnsi="Frutiger 45 Light" w:cs="Frutiger 45 Light"/>
            </w:rPr>
          </w:pPr>
          <w:r>
            <w:rPr>
              <w:rFonts w:cs="Frutiger 45 Light" w:ascii="Frutiger 45 Light" w:hAnsi="Frutiger 45 Light"/>
              <w:b/>
            </w:rPr>
          </w:r>
        </w:p>
      </w:tc>
    </w:tr>
    <w:tr>
      <w:trPr/>
      <w:tc>
        <w:tcPr>
          <w:tcW w:w="9523" w:type="dxa"/>
          <w:tcBorders/>
        </w:tcPr>
        <w:p>
          <w:pPr>
            <w:pStyle w:val="Footer"/>
            <w:jc w:val="end"/>
            <w:rPr/>
          </w:pPr>
          <w:r>
            <w:rPr>
              <w:rFonts w:cs="Frutiger 45 Light" w:ascii="Frutiger 45 Light" w:hAnsi="Frutiger 45 Light"/>
              <w:b/>
            </w:rPr>
            <w:t>Alternative Futures for the Current “Energy Crisis”</w:t>
          </w:r>
        </w:p>
      </w:tc>
      <w:tc>
        <w:tcPr>
          <w:tcW w:w="557" w:type="dxa"/>
          <w:tcBorders/>
        </w:tcPr>
        <w:p>
          <w:pPr>
            <w:pStyle w:val="Footer"/>
            <w:jc w:val="end"/>
            <w:rPr>
              <w:rFonts w:ascii="Frutiger 45 Light" w:hAnsi="Frutiger 45 Light" w:cs="Frutiger 45 Light"/>
              <w:b/>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4</w:t>
          </w:r>
          <w:r>
            <w:rPr>
              <w:rStyle w:val="PageNumber"/>
              <w:rFonts w:cs="Frutiger 45 Light" w:ascii="Frutiger 45 Light" w:hAnsi="Frutiger 45 Light"/>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539"/>
      <w:gridCol w:w="9541"/>
    </w:tblGrid>
    <w:tr>
      <w:trPr/>
      <w:tc>
        <w:tcPr>
          <w:tcW w:w="539" w:type="dxa"/>
          <w:tcBorders/>
        </w:tcPr>
        <w:p>
          <w:pPr>
            <w:pStyle w:val="Footer"/>
            <w:snapToGrid w:val="false"/>
            <w:rPr>
              <w:rStyle w:val="PageNumber"/>
              <w:rFonts w:ascii="Frutiger 45 Light" w:hAnsi="Frutiger 45 Light" w:cs="Frutiger 45 Light"/>
            </w:rPr>
          </w:pPr>
          <w:r>
            <w:rPr/>
          </w:r>
        </w:p>
      </w:tc>
      <w:tc>
        <w:tcPr>
          <w:tcW w:w="9541" w:type="dxa"/>
          <w:tcBorders/>
        </w:tcPr>
        <w:p>
          <w:pPr>
            <w:pStyle w:val="Footer"/>
            <w:snapToGrid w:val="false"/>
            <w:rPr>
              <w:rStyle w:val="PageNumber"/>
              <w:rFonts w:ascii="Frutiger 45 Light" w:hAnsi="Frutiger 45 Light" w:cs="Frutiger 45 Light"/>
              <w:b/>
            </w:rPr>
          </w:pPr>
          <w:r>
            <w:rPr/>
          </w:r>
        </w:p>
      </w:tc>
    </w:tr>
    <w:tr>
      <w:trPr/>
      <w:tc>
        <w:tcPr>
          <w:tcW w:w="539" w:type="dxa"/>
          <w:tcBorders/>
        </w:tcPr>
        <w:p>
          <w:pPr>
            <w:pStyle w:val="Footer"/>
            <w:rPr>
              <w:rFonts w:ascii="Frutiger 45 Light" w:hAnsi="Frutiger 45 Light" w:cs="Frutiger 45 Light"/>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5</w:t>
          </w:r>
          <w:r>
            <w:rPr>
              <w:rStyle w:val="PageNumber"/>
              <w:rFonts w:cs="Frutiger 45 Light" w:ascii="Frutiger 45 Light" w:hAnsi="Frutiger 45 Light"/>
            </w:rPr>
            <w:fldChar w:fldCharType="end"/>
          </w:r>
        </w:p>
      </w:tc>
      <w:tc>
        <w:tcPr>
          <w:tcW w:w="9541" w:type="dxa"/>
          <w:tcBorders/>
        </w:tcPr>
        <w:p>
          <w:pPr>
            <w:pStyle w:val="Footer"/>
            <w:rPr>
              <w:rFonts w:ascii="Frutiger 45 Light" w:hAnsi="Frutiger 45 Light" w:cs="Frutiger 45 Light"/>
              <w:b/>
            </w:rPr>
          </w:pPr>
          <w:r>
            <w:rPr>
              <w:rFonts w:cs="Frutiger 45 Light" w:ascii="Frutiger 45 Light" w:hAnsi="Frutiger 45 Light"/>
              <w:b/>
            </w:rPr>
            <w:t>U.S. Energy Policy at a Crossroad</w:t>
          </w:r>
        </w:p>
      </w:tc>
    </w:tr>
  </w:tbl>
  <w:p>
    <w:pPr>
      <w:pStyle w:val="Footer"/>
      <w:rPr>
        <w:rFonts w:ascii="Frutiger 45 Light" w:hAnsi="Frutiger 45 Light" w:cs="Frutiger 45 Light"/>
      </w:rPr>
    </w:pPr>
    <w:r>
      <w:rPr>
        <w:rFonts w:cs="Frutiger 45 Light" w:ascii="Frutiger 45 Light" w:hAnsi="Frutiger 45 Ligh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Frutiger 45 Light" w:hAnsi="Frutiger 45 Light" w:cs="Frutiger 45 Light"/>
        <w:bCs/>
        <w:sz w:val="20"/>
      </w:rPr>
    </w:pPr>
    <w:r>
      <w:rPr>
        <w:rFonts w:cs="Frutiger 45 Light" w:ascii="Frutiger 45 Light" w:hAnsi="Frutiger 45 Light"/>
        <w:bCs/>
        <w:sz w:val="20"/>
      </w:rPr>
    </w:r>
  </w:p>
  <w:p>
    <w:pPr>
      <w:pStyle w:val="Footer"/>
      <w:rPr>
        <w:rFonts w:ascii="Frutiger 45 Light" w:hAnsi="Frutiger 45 Light" w:cs="Frutiger 45 Light"/>
        <w:bCs/>
        <w:sz w:val="20"/>
      </w:rPr>
    </w:pPr>
    <w:r>
      <w:rPr>
        <w:rFonts w:cs="Frutiger 45 Light" w:ascii="Frutiger 45 Light" w:hAnsi="Frutiger 45 Light"/>
        <w:bCs/>
        <w:sz w:val="20"/>
      </w:rPr>
      <w:t>Note: This background paper is a product of Intellibridge Corporation, provided as a reference for event participants.  This document does not represent the opinions, research, nor conclusions of Enron Corp.  In no event shall Intellibridge Corporation nor Enron Corp. be liable to event participants nor any person for consequential, incidental, special, exemplary, punitive, or indirect damages that result from inaccuracy of the information provided herein.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b/>
            </w:rPr>
          </w:pPr>
          <w:r>
            <w:rPr>
              <w:b/>
            </w:rPr>
            <w:t xml:space="preserve">DRAFT </w:t>
            <w:noBreakHyphen/>
            <w:t xml:space="preserve"> </w:t>
          </w:r>
          <w:r>
            <w:rPr>
              <w:b/>
            </w:rPr>
            <w:fldChar w:fldCharType="begin"/>
          </w:r>
          <w:r>
            <w:rPr>
              <w:b/>
            </w:rPr>
            <w:instrText xml:space="preserve"> DATE \@"MMMM\ d', 'yyyy" </w:instrText>
          </w:r>
          <w:r>
            <w:rPr>
              <w:b/>
            </w:rPr>
            <w:fldChar w:fldCharType="separate"/>
          </w:r>
          <w:r>
            <w:rPr>
              <w:b/>
            </w:rPr>
            <w:t>September 28, 2025</w:t>
          </w:r>
          <w:r>
            <w:rPr>
              <w:b/>
            </w:rPr>
            <w:fldChar w:fldCharType="end"/>
          </w:r>
        </w:p>
      </w:tc>
      <w:tc>
        <w:tcPr>
          <w:tcW w:w="4428" w:type="dxa"/>
          <w:tcBorders/>
        </w:tcPr>
        <w:p>
          <w:pPr>
            <w:pStyle w:val="Header"/>
            <w:snapToGrid w:val="false"/>
            <w:rPr>
              <w:b/>
            </w:rPr>
          </w:pPr>
          <w:r>
            <w:rPr>
              <w:b/>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rFonts w:ascii="Frutiger 45 Light" w:hAnsi="Frutiger 45 Light" w:cs="Frutiger 45 Light"/>
              <w:b/>
            </w:rPr>
          </w:pPr>
          <w:r>
            <w:rPr>
              <w:rFonts w:cs="Frutiger 45 Light" w:ascii="Frutiger 45 Light" w:hAnsi="Frutiger 45 Light"/>
              <w:b/>
            </w:rPr>
            <w:t xml:space="preserve">DRAFT </w:t>
            <w:noBreakHyphen/>
            <w:t xml:space="preserve"> </w:t>
          </w:r>
          <w:r>
            <w:rPr>
              <w:rFonts w:cs="Frutiger 45 Light" w:ascii="Frutiger 45 Light" w:hAnsi="Frutiger 45 Light"/>
              <w:b/>
            </w:rPr>
            <w:fldChar w:fldCharType="begin"/>
          </w:r>
          <w:r>
            <w:rPr>
              <w:b/>
              <w:rFonts w:cs="Frutiger 45 Light" w:ascii="Frutiger 45 Light" w:hAnsi="Frutiger 45 Light"/>
            </w:rPr>
            <w:instrText xml:space="preserve"> DATE \@"MMMM\ d', 'yyyy" </w:instrText>
          </w:r>
          <w:r>
            <w:rPr>
              <w:b/>
              <w:rFonts w:cs="Frutiger 45 Light" w:ascii="Frutiger 45 Light" w:hAnsi="Frutiger 45 Light"/>
            </w:rPr>
            <w:fldChar w:fldCharType="separate"/>
          </w:r>
          <w:r>
            <w:rPr>
              <w:b/>
              <w:rFonts w:cs="Frutiger 45 Light" w:ascii="Frutiger 45 Light" w:hAnsi="Frutiger 45 Light"/>
            </w:rPr>
            <w:t>September 28, 2025</w:t>
          </w:r>
          <w:r>
            <w:rPr>
              <w:b/>
              <w:rFonts w:cs="Frutiger 45 Light" w:ascii="Frutiger 45 Light" w:hAnsi="Frutiger 45 Light"/>
            </w:rPr>
            <w:fldChar w:fldCharType="end"/>
          </w:r>
        </w:p>
      </w:tc>
      <w:tc>
        <w:tcPr>
          <w:tcW w:w="4428" w:type="dxa"/>
          <w:tcBorders/>
        </w:tcPr>
        <w:p>
          <w:pPr>
            <w:pStyle w:val="Header"/>
            <w:snapToGrid w:val="false"/>
            <w:rPr>
              <w:rFonts w:ascii="Frutiger 45 Light" w:hAnsi="Frutiger 45 Light" w:cs="Frutiger 45 Light"/>
              <w:b/>
            </w:rPr>
          </w:pPr>
          <w:r>
            <w:rPr>
              <w:rFonts w:cs="Frutiger 45 Light" w:ascii="Frutiger 45 Light" w:hAnsi="Frutiger 45 Light"/>
              <w:b/>
            </w:rPr>
          </w:r>
        </w:p>
      </w:tc>
    </w:tr>
  </w:tbl>
  <w:p>
    <w:pPr>
      <w:pStyle w:val="Header"/>
      <w:rPr>
        <w:rFonts w:ascii="Frutiger 45 Light" w:hAnsi="Frutiger 45 Light" w:cs="Frutiger 45 Light"/>
        <w:b/>
      </w:rPr>
    </w:pPr>
    <w:r>
      <w:rPr>
        <w:rFonts w:cs="Frutiger 45 Light" w:ascii="Frutiger 45 Light" w:hAnsi="Frutiger 45 Light"/>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32"/>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Frutiger 45 Light" w:hAnsi="Frutiger 45 Light" w:cs="Frutiger 45 Light"/>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Frutiger 45 Light" w:hAnsi="Frutiger 45 Light" w:cs="Frutiger 45 Light"/>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z w:val="32"/>
    </w:rPr>
  </w:style>
  <w:style w:type="character" w:styleId="WW8Num18z1">
    <w:name w:val="WW8Num18z1"/>
    <w:qFormat/>
    <w:rPr/>
  </w:style>
  <w:style w:type="character" w:styleId="WW8Num19z0">
    <w:name w:val="WW8Num19z0"/>
    <w:qFormat/>
    <w:rPr>
      <w:rFonts w:ascii="Frutiger 45 Light" w:hAnsi="Frutiger 45 Light" w:cs="Frutiger 45 Light"/>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copy1">
    <w:name w:val="copy1"/>
    <w:basedOn w:val="DefaultParagraphFont"/>
    <w:qFormat/>
    <w:rPr>
      <w:rFonts w:ascii="Arial" w:hAnsi="Arial" w:cs="Arial"/>
      <w:b w:val="false"/>
      <w:bCs w:val="false"/>
      <w:color w:val="000000"/>
      <w:sz w:val="20"/>
      <w:szCs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3366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alloonText">
    <w:name w:val="Balloon Text"/>
    <w:basedOn w:val="Normal"/>
    <w:qFormat/>
    <w:pPr/>
    <w:rPr>
      <w:rFonts w:ascii="Tahoma" w:hAnsi="Tahoma" w:cs="Wingdings"/>
      <w:sz w:val="16"/>
      <w:szCs w:val="16"/>
    </w:rPr>
  </w:style>
  <w:style w:type="paragraph" w:styleId="BodyText3">
    <w:name w:val="Body Text 3"/>
    <w:basedOn w:val="Normal"/>
    <w:qFormat/>
    <w:pPr>
      <w:jc w:val="center"/>
    </w:pPr>
    <w:rPr>
      <w:rFonts w:ascii="Frutiger 45 Light" w:hAnsi="Frutiger 45 Light" w:cs="Frutiger 45 Light"/>
      <w:b/>
      <w:bCs/>
      <w:sz w:val="32"/>
    </w:rPr>
  </w:style>
  <w:style w:type="paragraph" w:styleId="BodyText2">
    <w:name w:val="Body Text 2"/>
    <w:basedOn w:val="Normal"/>
    <w:qFormat/>
    <w:pPr/>
    <w:rPr>
      <w:color w:val="339966"/>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2001-08-29T22:17:00Z</dcterms:created>
  <dc:creator>DHankinson</dc:creator>
  <dc:description/>
  <dc:language>en-CA</dc:language>
  <cp:lastModifiedBy>DHankinson</cp:lastModifiedBy>
  <cp:lastPrinted>2001-08-29T21:46:00Z</cp:lastPrinted>
  <dcterms:modified xsi:type="dcterms:W3CDTF">2001-08-30T21:20:00Z</dcterms:modified>
  <cp:revision>8</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-1130770938</vt:r8>
  </property>
  <property fmtid="{D5CDD505-2E9C-101B-9397-08002B2CF9AE}" pid="3" name="_AuthorEmail">
    <vt:lpwstr>KBowman@Intellibridge.com</vt:lpwstr>
  </property>
  <property fmtid="{D5CDD505-2E9C-101B-9397-08002B2CF9AE}" pid="4" name="_AuthorEmailDisplayName">
    <vt:lpwstr>Kirsten Bowman</vt:lpwstr>
  </property>
  <property fmtid="{D5CDD505-2E9C-101B-9397-08002B2CF9AE}" pid="5" name="_EmailSubject">
    <vt:lpwstr>here's what I did....</vt:lpwstr>
  </property>
  <property fmtid="{D5CDD505-2E9C-101B-9397-08002B2CF9AE}" pid="6" name="_PreviousAdHocReviewCycleID">
    <vt:r8>2022729913</vt:r8>
  </property>
</Properties>
</file>