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Courier New" w:hAnsi="Courier New" w:cs="Courier New"/>
          <w:sz w:val="24"/>
        </w:rPr>
      </w:pPr>
      <w:r>
        <w:rPr>
          <w:rFonts w:cs="Courier New" w:ascii="Courier New" w:hAnsi="Courier New"/>
          <w:sz w:val="24"/>
        </w:rPr>
        <w:t>UNITED STATES SECURITIES AND EXCHANGE</w:t>
      </w:r>
    </w:p>
    <w:p>
      <w:pPr>
        <w:pStyle w:val="Normal"/>
        <w:numPr>
          <w:ilvl w:val="0"/>
          <w:numId w:val="0"/>
        </w:numPr>
        <w:jc w:val="center"/>
        <w:outlineLvl w:val="0"/>
        <w:rPr>
          <w:rFonts w:ascii="Courier New" w:hAnsi="Courier New" w:cs="Courier New"/>
          <w:sz w:val="24"/>
        </w:rPr>
      </w:pPr>
      <w:r>
        <w:rPr>
          <w:rFonts w:cs="Courier New" w:ascii="Courier New" w:hAnsi="Courier New"/>
          <w:sz w:val="24"/>
        </w:rPr>
        <w:t>COMMISSION</w:t>
      </w:r>
    </w:p>
    <w:p>
      <w:pPr>
        <w:pStyle w:val="Normal"/>
        <w:numPr>
          <w:ilvl w:val="0"/>
          <w:numId w:val="0"/>
        </w:numPr>
        <w:jc w:val="center"/>
        <w:outlineLvl w:val="0"/>
        <w:rPr>
          <w:rFonts w:ascii="Courier New" w:hAnsi="Courier New" w:cs="Courier New"/>
          <w:sz w:val="24"/>
        </w:rPr>
      </w:pPr>
      <w:r>
        <w:rPr>
          <w:rFonts w:cs="Courier New" w:ascii="Courier New" w:hAnsi="Courier New"/>
          <w:sz w:val="24"/>
        </w:rPr>
        <w:t>WASHINGTON, D.C. 20549</w:t>
      </w:r>
    </w:p>
    <w:p>
      <w:pPr>
        <w:pStyle w:val="Normal"/>
        <w:numPr>
          <w:ilvl w:val="0"/>
          <w:numId w:val="0"/>
        </w:numPr>
        <w:jc w:val="center"/>
        <w:outlineLvl w:val="0"/>
        <w:rPr>
          <w:rFonts w:ascii="Courier New" w:hAnsi="Courier New" w:cs="Courier New"/>
          <w:b/>
          <w:sz w:val="24"/>
        </w:rPr>
      </w:pPr>
      <w:r>
        <w:rPr>
          <w:rFonts w:cs="Courier New" w:ascii="Courier New" w:hAnsi="Courier New"/>
          <w:b/>
          <w:sz w:val="24"/>
        </w:rPr>
        <w:t>FORM 10-Q</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numPr>
          <w:ilvl w:val="0"/>
          <w:numId w:val="0"/>
        </w:numPr>
        <w:outlineLvl w:val="0"/>
        <w:rPr>
          <w:rFonts w:ascii="Courier New" w:hAnsi="Courier New" w:cs="Courier New"/>
        </w:rPr>
      </w:pPr>
      <w:r>
        <w:rPr>
          <w:rFonts w:cs="Courier New" w:ascii="Courier New" w:hAnsi="Courier New"/>
        </w:rPr>
        <w:t>QUARTERLY REPORT PURSUANT TO SECTION 13 OR 15(d) OF THE SECURITIES</w:t>
      </w:r>
    </w:p>
    <w:p>
      <w:pPr>
        <w:pStyle w:val="Normal"/>
        <w:numPr>
          <w:ilvl w:val="0"/>
          <w:numId w:val="0"/>
        </w:numPr>
        <w:outlineLvl w:val="0"/>
        <w:rPr>
          <w:rFonts w:ascii="Courier New" w:hAnsi="Courier New" w:cs="Courier New"/>
        </w:rPr>
      </w:pPr>
      <w:r>
        <w:rPr>
          <w:rFonts w:cs="Courier New" w:ascii="Courier New" w:hAnsi="Courier New"/>
        </w:rPr>
        <w:t>EXCHANGE ACT OF 1934</w:t>
      </w:r>
    </w:p>
    <w:p>
      <w:pPr>
        <w:pStyle w:val="Normal"/>
        <w:rPr/>
      </w:pPr>
      <w:r>
        <w:rPr>
          <w:rFonts w:cs="Courier New" w:ascii="Courier New" w:hAnsi="Courier New"/>
        </w:rPr>
        <w:t xml:space="preserve">For the quarterly period ended </w:t>
      </w:r>
      <w:r>
        <w:rPr>
          <w:rFonts w:cs="Courier New" w:ascii="Courier New" w:hAnsi="Courier New"/>
          <w:b/>
        </w:rPr>
        <w:t>September 30, 2001</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numPr>
          <w:ilvl w:val="0"/>
          <w:numId w:val="0"/>
        </w:numPr>
        <w:jc w:val="center"/>
        <w:outlineLvl w:val="0"/>
        <w:rPr>
          <w:rFonts w:ascii="Courier New" w:hAnsi="Courier New" w:cs="Courier New"/>
        </w:rPr>
      </w:pPr>
      <w:r>
        <w:rPr>
          <w:rFonts w:cs="Courier New" w:ascii="Courier New" w:hAnsi="Courier New"/>
        </w:rPr>
        <w:t>Commission File Number 1-13159</w:t>
      </w:r>
    </w:p>
    <w:p>
      <w:pPr>
        <w:pStyle w:val="Normal"/>
        <w:jc w:val="center"/>
        <w:rPr>
          <w:rFonts w:ascii="Courier New" w:hAnsi="Courier New" w:cs="Courier New"/>
          <w:b/>
          <w:sz w:val="24"/>
        </w:rPr>
      </w:pPr>
      <w:r>
        <w:rPr>
          <w:rFonts w:cs="Courier New" w:ascii="Courier New" w:hAnsi="Courier New"/>
          <w:b/>
          <w:sz w:val="24"/>
        </w:rPr>
        <w:t>ENRON CORP.</w:t>
      </w:r>
    </w:p>
    <w:p>
      <w:pPr>
        <w:pStyle w:val="Normal"/>
        <w:jc w:val="center"/>
        <w:rPr>
          <w:rFonts w:ascii="Courier New" w:hAnsi="Courier New" w:cs="Courier New"/>
        </w:rPr>
      </w:pPr>
      <w:r>
        <w:rPr>
          <w:rFonts w:cs="Courier New" w:ascii="Courier New" w:hAnsi="Courier New"/>
        </w:rPr>
        <w:t>(Exact name of registrant as specified in its charter)</w:t>
      </w:r>
    </w:p>
    <w:p>
      <w:pPr>
        <w:pStyle w:val="Normal"/>
        <w:jc w:val="center"/>
        <w:rPr>
          <w:rFonts w:ascii="Courier New" w:hAnsi="Courier New" w:cs="Courier New"/>
        </w:rPr>
      </w:pPr>
      <w:r>
        <w:rPr>
          <w:rFonts w:cs="Courier New" w:ascii="Courier New" w:hAnsi="Courier New"/>
        </w:rPr>
      </w:r>
    </w:p>
    <w:p>
      <w:pPr>
        <w:pStyle w:val="Normal"/>
        <w:jc w:val="center"/>
        <w:rPr>
          <w:rFonts w:ascii="Courier New" w:hAnsi="Courier New" w:cs="Courier New"/>
        </w:rPr>
      </w:pPr>
      <w:r>
        <w:rPr>
          <w:rFonts w:cs="Courier New" w:ascii="Courier New" w:hAnsi="Courier New"/>
        </w:rPr>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Oregon</w:t>
        <w:tab/>
      </w:r>
      <w:r>
        <w:rPr>
          <w:rFonts w:cs="Courier New" w:ascii="Courier New" w:hAnsi="Courier New"/>
        </w:rPr>
        <w:tab/>
      </w:r>
      <w:r>
        <w:rPr>
          <w:rFonts w:cs="Courier New" w:ascii="Courier New" w:hAnsi="Courier New"/>
          <w:u w:val="single"/>
        </w:rPr>
        <w:tab/>
        <w:t>47-0255140</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(State or other jurisdiction of</w:t>
        <w:tab/>
        <w:t>(I.R.S. Employer Identification</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incorporation or organization)</w:t>
        <w:tab/>
        <w:t>Number)</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Enron Building</w:t>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1400 Smith Street</w:t>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Houston, Texas</w:t>
        <w:tab/>
      </w:r>
      <w:r>
        <w:rPr>
          <w:rFonts w:cs="Courier New" w:ascii="Courier New" w:hAnsi="Courier New"/>
        </w:rPr>
        <w:tab/>
      </w:r>
      <w:r>
        <w:rPr>
          <w:rFonts w:cs="Courier New" w:ascii="Courier New" w:hAnsi="Courier New"/>
          <w:u w:val="single"/>
        </w:rPr>
        <w:tab/>
        <w:t>77002</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(Address of principal executive</w:t>
        <w:tab/>
        <w:t>(Zip Code)</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offices)</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1260" w:leader="none"/>
          <w:tab w:val="center" w:pos="4320" w:leader="none"/>
          <w:tab w:val="left" w:pos="7380" w:leader="none"/>
        </w:tabs>
        <w:rPr>
          <w:rFonts w:ascii="Courier New" w:hAnsi="Courier New" w:cs="Courier New"/>
        </w:rPr>
      </w:pPr>
      <w:r>
        <w:rPr>
          <w:rFonts w:cs="Courier New" w:ascii="Courier New" w:hAnsi="Courier New"/>
        </w:rPr>
        <w:tab/>
      </w:r>
      <w:r>
        <w:rPr>
          <w:rFonts w:cs="Courier New" w:ascii="Courier New" w:hAnsi="Courier New"/>
          <w:u w:val="single"/>
        </w:rPr>
        <w:tab/>
        <w:t>(713) 853-6161</w:t>
        <w:tab/>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tab/>
        <w:t>(Registrant's telephone number, including area code)</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Yes [X]    No [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 xml:space="preserve">Indicate the number of shares outstanding of each of the issuer’s classes of common stock, as of the latest practicable date.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2160" w:leader="none"/>
          <w:tab w:val="left" w:pos="3780" w:leader="none"/>
          <w:tab w:val="left" w:pos="4860" w:leader="none"/>
          <w:tab w:val="center" w:pos="6480" w:leader="none"/>
          <w:tab w:val="left" w:pos="7920" w:leader="none"/>
        </w:tabs>
        <w:rPr>
          <w:rFonts w:ascii="Courier New" w:hAnsi="Courier New" w:cs="Courier New"/>
        </w:rPr>
      </w:pPr>
      <w:r>
        <w:rPr>
          <w:rFonts w:cs="Courier New" w:ascii="Courier New" w:hAnsi="Courier New"/>
        </w:rPr>
        <w:tab/>
      </w:r>
      <w:r>
        <w:rPr>
          <w:rFonts w:cs="Courier New" w:ascii="Courier New" w:hAnsi="Courier New"/>
          <w:u w:val="single"/>
        </w:rPr>
        <w:tab/>
        <w:t>Class</w:t>
        <w:tab/>
      </w:r>
      <w:r>
        <w:rPr>
          <w:rFonts w:cs="Courier New" w:ascii="Courier New" w:hAnsi="Courier New"/>
        </w:rPr>
        <w:tab/>
      </w:r>
      <w:r>
        <w:rPr>
          <w:rFonts w:cs="Courier New" w:ascii="Courier New" w:hAnsi="Courier New"/>
          <w:u w:val="single"/>
        </w:rPr>
        <w:t>Outstanding at October 31, 2001</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Common Stock, No Par Value</w:t>
        <w:tab/>
        <w:t>743,904,638 shares</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sectPr>
          <w:type w:val="nextPage"/>
          <w:pgSz w:w="12240" w:h="15840"/>
          <w:pgMar w:left="1800" w:right="1800" w:gutter="0" w:header="0" w:top="1440" w:footer="0" w:bottom="720"/>
          <w:pgNumType w:fmt="decimal"/>
          <w:formProt w:val="false"/>
          <w:textDirection w:val="lrTb"/>
          <w:docGrid w:type="default" w:linePitch="360" w:charSpace="0"/>
        </w:sectPr>
        <w:pStyle w:val="Normal"/>
        <w:tabs>
          <w:tab w:val="clear" w:pos="720"/>
          <w:tab w:val="center" w:pos="4320" w:leader="none"/>
          <w:tab w:val="center" w:pos="6480" w:leader="none"/>
        </w:tabs>
        <w:jc w:val="center"/>
        <w:rPr>
          <w:rFonts w:ascii="Courier New" w:hAnsi="Courier New" w:cs="Courier New"/>
          <w:b/>
        </w:rPr>
      </w:pPr>
      <w:r>
        <w:rPr>
          <w:rFonts w:cs="Courier New" w:ascii="Courier New" w:hAnsi="Courier New"/>
          <w:b/>
        </w:rPr>
        <w:t>1 of 77</w:t>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ENRON CORP. AND SUBSIDIARIES</w:t>
      </w:r>
    </w:p>
    <w:p>
      <w:pPr>
        <w:pStyle w:val="Normal"/>
        <w:tabs>
          <w:tab w:val="clear" w:pos="720"/>
          <w:tab w:val="center" w:pos="6300" w:leader="none"/>
          <w:tab w:val="center" w:pos="9000" w:leader="none"/>
          <w:tab w:val="left" w:pos="1017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TABLE OF CONTENTS</w:t>
      </w:r>
    </w:p>
    <w:p>
      <w:pPr>
        <w:pStyle w:val="Normal"/>
        <w:tabs>
          <w:tab w:val="clear" w:pos="720"/>
          <w:tab w:val="center" w:pos="6300" w:leader="none"/>
          <w:tab w:val="center" w:pos="9000" w:leader="none"/>
          <w:tab w:val="left" w:pos="10170" w:leader="none"/>
        </w:tabs>
        <w:rPr>
          <w:rFonts w:ascii="Courier New" w:hAnsi="Courier New" w:cs="Courier New"/>
          <w:b/>
          <w:sz w:val="22"/>
        </w:rPr>
      </w:pPr>
      <w:r>
        <w:rPr>
          <w:rFonts w:cs="Courier New" w:ascii="Courier New" w:hAnsi="Courier New"/>
          <w:b/>
          <w:sz w:val="22"/>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pPr>
      <w:r>
        <w:rPr>
          <w:rFonts w:cs="Courier New" w:ascii="Courier New" w:hAnsi="Courier New"/>
        </w:rPr>
        <w:tab/>
      </w:r>
      <w:r>
        <w:rPr>
          <w:rFonts w:cs="Courier New" w:ascii="Courier New" w:hAnsi="Courier New"/>
          <w:u w:val="single"/>
        </w:rPr>
        <w:t>Page No.</w:t>
      </w:r>
    </w:p>
    <w:p>
      <w:pPr>
        <w:pStyle w:val="Normal"/>
        <w:tabs>
          <w:tab w:val="clear" w:pos="720"/>
          <w:tab w:val="left" w:pos="7200" w:leader="none"/>
          <w:tab w:val="center" w:pos="9000" w:leader="none"/>
          <w:tab w:val="left" w:pos="10170" w:leader="none"/>
        </w:tabs>
        <w:rPr>
          <w:rFonts w:ascii="Courier New" w:hAnsi="Courier New" w:cs="Courier New"/>
          <w:u w:val="single"/>
        </w:rPr>
      </w:pPr>
      <w:r>
        <w:rPr>
          <w:rFonts w:cs="Courier New" w:ascii="Courier New" w:hAnsi="Courier New"/>
          <w:u w:val="single"/>
        </w:rPr>
      </w:r>
    </w:p>
    <w:p>
      <w:pPr>
        <w:pStyle w:val="Footer"/>
        <w:numPr>
          <w:ilvl w:val="0"/>
          <w:numId w:val="0"/>
        </w:numPr>
        <w:tabs>
          <w:tab w:val="clear" w:pos="4320"/>
          <w:tab w:val="clear" w:pos="8640"/>
          <w:tab w:val="left" w:pos="720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EXPLANATORY NOTE</w:t>
        <w:tab/>
        <w:tab/>
        <w:t>3</w:t>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t>PART I. FINANCIAL INFORMATION</w:t>
      </w:r>
    </w:p>
    <w:p>
      <w:pPr>
        <w:pStyle w:val="Normal"/>
        <w:tabs>
          <w:tab w:val="clear" w:pos="720"/>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ITEM 1.</w:t>
        <w:tab/>
        <w:t>Financial Statements</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Consolidated Income Statement - Three</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 and</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Nine Months Ended September 30, 2001 and 2000</w:t>
        <w:tab/>
        <w:t>4</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Balance Sheet - September 30, 2001</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and December 31, 2000</w:t>
        <w:tab/>
        <w:t>5</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Statement of Cash Flows - Nine</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w:t>
        <w:tab/>
        <w:t>6</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Notes to Consolidated Financial Statements</w:t>
        <w:tab/>
        <w:t>7</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2.</w:t>
        <w:tab/>
        <w:t>Management's Discussion and Analysis of</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Financial Condition and Results of Operations</w:t>
        <w:tab/>
        <w:t>42</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1080" w:leader="none"/>
          <w:tab w:val="left" w:pos="162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PART II. OTHER INFORMATION</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1.</w:t>
        <w:tab/>
        <w:t>Legal Proceedings</w:t>
        <w:tab/>
        <w:t>76</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6.</w:t>
        <w:tab/>
        <w:t>Exhibits and Reports on Form 8-K</w:t>
        <w:tab/>
        <w:t>76</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sectPr>
          <w:footerReference w:type="default" r:id="rId2"/>
          <w:type w:val="nextPage"/>
          <w:pgSz w:w="12240" w:h="15840"/>
          <w:pgMar w:left="1800" w:right="1800" w:gutter="0" w:header="0" w:top="1440" w:footer="720" w:bottom="1440"/>
          <w:pgNumType w:start="2" w:fmt="decimal"/>
          <w:formProt w:val="false"/>
          <w:textDirection w:val="lrTb"/>
          <w:docGrid w:type="default" w:linePitch="360" w:charSpace="0"/>
        </w:sectPr>
        <w:pStyle w:val="Normal"/>
        <w:tabs>
          <w:tab w:val="clear" w:pos="720"/>
          <w:tab w:val="left" w:pos="540" w:leader="none"/>
        </w:tabs>
        <w:jc w:val="center"/>
        <w:rPr>
          <w:rFonts w:ascii="Courier New" w:hAnsi="Courier New" w:cs="Courier New"/>
        </w:rPr>
      </w:pPr>
      <w:r>
        <w:rPr>
          <w:rFonts w:cs="Courier New" w:ascii="Courier New" w:hAnsi="Courier New"/>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t>EXPLANATORY NOTE</w:t>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BodyText2"/>
        <w:tabs>
          <w:tab w:val="left" w:pos="264" w:leader="none"/>
          <w:tab w:val="left" w:pos="540" w:leader="none"/>
        </w:tabs>
        <w:rPr>
          <w:sz w:val="20"/>
        </w:rPr>
      </w:pPr>
      <w:r>
        <w:rPr>
          <w:sz w:val="20"/>
        </w:rPr>
        <w:tab/>
        <w:t>As explained in a November 8, 2001 Form 8-K filed by Enron Corp. (Enron) with the Securities and Exchange Commission (SEC),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herein, Enron’s Board of Directors has formed a Special Committee to conduct an independent investigation and review of transactions between Enron and certain related parties.  The Special Committee has retained the law firm of Wilmer, Cutler &amp; Pickering (Wilmer Cutler) as its counsel.  Wilmer, Cutler has retained Deloitte &amp; Touche LLP to provide related accounting advice to the law firm.  The Special Committee began its review on October 26, 2001.  Management believes that, based on information currently available to it, results of operations set forth herein were compiled in accordance with generally accepted accounting principles and fairly depict the financial condition 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their need to complete review procedures and the ongoing Special Committee investigation, Arthur Andersen LLP is unable at this time to finalize its review of 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Footer"/>
        <w:numPr>
          <w:ilvl w:val="0"/>
          <w:numId w:val="0"/>
        </w:numPr>
        <w:tabs>
          <w:tab w:val="clear" w:pos="4320"/>
          <w:tab w:val="clear" w:pos="8640"/>
          <w:tab w:val="left" w:pos="360" w:leader="none"/>
        </w:tabs>
        <w:outlineLvl w:val="0"/>
        <w:rPr>
          <w:rFonts w:ascii="Courier New" w:hAnsi="Courier New" w:cs="Courier New"/>
          <w:sz w:val="20"/>
        </w:rPr>
      </w:pPr>
      <w:r>
        <w:rPr>
          <w:rFonts w:cs="Courier New" w:ascii="Courier New" w:hAnsi="Courier New"/>
          <w:sz w:val="20"/>
        </w:rPr>
      </w:r>
    </w:p>
    <w:p>
      <w:p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sectPr>
          <w:headerReference w:type="default" r:id="rId3"/>
          <w:footerReference w:type="default" r:id="rId4"/>
          <w:footerReference w:type="first" r:id="rId5"/>
          <w:type w:val="nextPage"/>
          <w:pgSz w:w="12240" w:h="15840"/>
          <w:pgMar w:left="1800" w:right="1800" w:gutter="0" w:header="720" w:top="776" w:footer="720" w:bottom="776"/>
          <w:pgNumType w:fmt="decimal"/>
          <w:formProt w:val="false"/>
          <w:textDirection w:val="lrTb"/>
          <w:docGrid w:type="default" w:linePitch="360" w:charSpace="0"/>
        </w:sect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PART I. FINANCIAL INFORMATION</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ITEM 1. FINANCIAL STATEMENTS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CONSOLIDATED INCOME STATEMENT</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(In Millions, Except Per Share Amounts)</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(Unaudited)</w:t>
      </w:r>
    </w:p>
    <w:p>
      <w:pPr>
        <w:pStyle w:val="Normal"/>
        <w:tabs>
          <w:tab w:val="clear" w:pos="720"/>
          <w:tab w:val="left" w:pos="360" w:leader="none"/>
        </w:tabs>
        <w:rPr>
          <w:rFonts w:ascii="Courier New" w:hAnsi="Courier New" w:cs="Courier New"/>
          <w:i/>
          <w:i/>
          <w:sz w:val="22"/>
        </w:rPr>
      </w:pPr>
      <w:r>
        <w:rPr>
          <w:rFonts w:cs="Courier New" w:ascii="Courier New" w:hAnsi="Courier New"/>
          <w:i/>
          <w:sz w:val="22"/>
        </w:rPr>
      </w:r>
    </w:p>
    <w:p>
      <w:pPr>
        <w:pStyle w:val="Normal"/>
        <w:tabs>
          <w:tab w:val="clear" w:pos="720"/>
          <w:tab w:val="left" w:pos="360" w:leader="none"/>
          <w:tab w:val="center" w:pos="6840" w:leader="none"/>
          <w:tab w:val="center" w:pos="9720" w:leader="none"/>
        </w:tabs>
        <w:rPr>
          <w:rFonts w:ascii="Courier New" w:hAnsi="Courier New" w:cs="Courier New"/>
        </w:rPr>
      </w:pPr>
      <w:r>
        <w:rPr>
          <w:rFonts w:cs="Courier New" w:ascii="Courier New" w:hAnsi="Courier New"/>
        </w:rPr>
        <w:tab/>
        <w:tab/>
        <w:t>Three Months Ended</w:t>
        <w:tab/>
        <w:t>Nine Months Ended</w:t>
      </w:r>
    </w:p>
    <w:p>
      <w:pPr>
        <w:pStyle w:val="Normal"/>
        <w:tabs>
          <w:tab w:val="clear" w:pos="720"/>
          <w:tab w:val="left" w:pos="360" w:leader="none"/>
          <w:tab w:val="left" w:pos="5580" w:leader="none"/>
          <w:tab w:val="center" w:pos="6840" w:leader="none"/>
          <w:tab w:val="center" w:pos="972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September 30,</w:t>
        <w:tab/>
        <w:t>September 30,</w:t>
        <w:tab/>
      </w:r>
    </w:p>
    <w:p>
      <w:pPr>
        <w:pStyle w:val="Normal"/>
        <w:tabs>
          <w:tab w:val="clear" w:pos="720"/>
          <w:tab w:val="left" w:pos="360" w:leader="none"/>
          <w:tab w:val="left" w:pos="5580" w:leader="none"/>
          <w:tab w:val="center" w:pos="6120" w:leader="none"/>
          <w:tab w:val="center" w:pos="7560" w:leader="none"/>
          <w:tab w:val="center" w:pos="9000" w:leader="none"/>
          <w:tab w:val="center" w:pos="1044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t>2001</w:t>
        <w:tab/>
        <w:t>2000</w:t>
        <w:tab/>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Restated</w:t>
        <w:tab/>
        <w:t>Restated</w:t>
        <w:tab/>
        <w:t>Restated</w:t>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See Note 3</w:t>
        <w:tab/>
        <w:t>See Note 3</w:t>
        <w:tab/>
        <w:t>See Note 3</w:t>
      </w:r>
    </w:p>
    <w:p>
      <w:pPr>
        <w:pStyle w:val="Footer"/>
        <w:tabs>
          <w:tab w:val="clear" w:pos="4320"/>
          <w:tab w:val="clear" w:pos="8640"/>
          <w:tab w:val="left" w:pos="360" w:leader="none"/>
          <w:tab w:val="center" w:pos="7560" w:leader="none"/>
          <w:tab w:val="center" w:pos="10440" w:leader="none"/>
        </w:tabs>
        <w:ind w:end="-360"/>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Revenues</w:t>
        <w:tab/>
      </w:r>
      <w:r>
        <w:rPr>
          <w:rFonts w:cs="Courier New" w:ascii="Courier New" w:hAnsi="Courier New"/>
          <w:u w:val="single"/>
        </w:rPr>
        <w:t>$47,461</w:t>
        <w:tab/>
        <w:t>$29,807</w:t>
        <w:tab/>
        <w:t>$139,491</w:t>
        <w:tab/>
        <w:t>$59,888</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Costs and Expenses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Cost of gas, electricity and other products</w:t>
        <w:tab/>
        <w:t>45,743</w:t>
        <w:tab/>
        <w:t>28,096</w:t>
        <w:tab/>
        <w:t>133,765</w:t>
        <w:tab/>
        <w:t>55,308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Operating expenses</w:t>
        <w:tab/>
        <w:t>929</w:t>
        <w:tab/>
        <w:t>856</w:t>
        <w:tab/>
        <w:t>2,942</w:t>
        <w:tab/>
        <w:t>2,521</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Depreciation, depletion and amortization</w:t>
        <w:tab/>
        <w:t>294</w:t>
        <w:tab/>
        <w:t>256</w:t>
        <w:tab/>
        <w:t>746</w:t>
        <w:tab/>
        <w:t>620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Investment losses</w:t>
        <w:tab/>
        <w:t>783</w:t>
        <w:tab/>
        <w:t>-</w:t>
        <w:tab/>
        <w:t>783</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Taxes, other than income taxes</w:t>
        <w:tab/>
      </w:r>
      <w:r>
        <w:rPr>
          <w:rFonts w:cs="Courier New" w:ascii="Courier New" w:hAnsi="Courier New"/>
          <w:u w:val="single"/>
        </w:rPr>
        <w:t xml:space="preserve">     62</w:t>
        <w:tab/>
        <w:t>65</w:t>
        <w:tab/>
        <w:t>228</w:t>
        <w:tab/>
        <w:t>190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47,811</w:t>
        <w:tab/>
        <w:t xml:space="preserve"> 29,273</w:t>
        <w:tab/>
        <w:t>138,464</w:t>
        <w:tab/>
        <w:t>58,639</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Operating Income (Loss)</w:t>
        <w:tab/>
        <w:t>(350)</w:t>
        <w:tab/>
        <w:t>534</w:t>
        <w:tab/>
        <w:t>1,027</w:t>
        <w:tab/>
        <w:t>1,249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Other Income and Deductions</w:t>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b/>
        <w:t>Equity in earnings (losses) of unconsolidated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affiliates</w:t>
        <w:tab/>
        <w:t>(400)</w:t>
        <w:tab/>
        <w:t>67</w:t>
        <w:tab/>
        <w:t>(343)</w:t>
        <w:tab/>
        <w:t>243</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Gains (losses) on sales of assets</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and investments</w:t>
        <w:tab/>
        <w:t>(1)</w:t>
        <w:tab/>
        <w:t>45</w:t>
        <w:tab/>
        <w:t>49</w:t>
        <w:tab/>
        <w:t>135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Interest income</w:t>
        <w:tab/>
        <w:t>91</w:t>
        <w:tab/>
        <w:t>50</w:t>
        <w:tab/>
        <w:t>241</w:t>
        <w:tab/>
        <w:t>121</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Other income (loss), net</w:t>
        <w:tab/>
      </w:r>
      <w:r>
        <w:rPr>
          <w:rFonts w:cs="Courier New" w:ascii="Courier New" w:hAnsi="Courier New"/>
          <w:u w:val="single"/>
        </w:rPr>
        <w:t xml:space="preserve">    (30)</w:t>
        <w:tab/>
        <w:t xml:space="preserve"> (17)</w:t>
        <w:tab/>
        <w:t>(17)</w:t>
        <w:tab/>
        <w:t>60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(Loss) Before Interest, Minority</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(690)</w:t>
        <w:tab/>
        <w:t>679</w:t>
        <w:tab/>
        <w:t>957</w:t>
        <w:tab/>
        <w:t>1,808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Interest and Related Charges, net</w:t>
        <w:tab/>
        <w:t>201</w:t>
        <w:tab/>
        <w:t>259</w:t>
        <w:tab/>
        <w:t>630</w:t>
        <w:tab/>
        <w:t>643</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Dividends on Company-Obligated Preferred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Securities of Subsidiaries</w:t>
        <w:tab/>
        <w:t>21</w:t>
        <w:tab/>
        <w:t>20</w:t>
        <w:tab/>
        <w:t>57</w:t>
        <w:tab/>
        <w:t>59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Minority Interests</w:t>
        <w:tab/>
        <w:t>33</w:t>
        <w:tab/>
        <w:t>24</w:t>
        <w:tab/>
        <w:t>90</w:t>
        <w:tab/>
        <w:t>115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Tax Expense (Benefit)</w:t>
        <w:tab/>
      </w:r>
      <w:r>
        <w:rPr>
          <w:rFonts w:cs="Courier New" w:ascii="Courier New" w:hAnsi="Courier New"/>
          <w:u w:val="single"/>
        </w:rPr>
        <w:t xml:space="preserve">   (282)</w:t>
        <w:tab/>
        <w:t>73</w:t>
        <w:tab/>
        <w:t>(7)</w:t>
        <w:tab/>
        <w:t>194</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 xml:space="preserve">Net Income (Loss) Before Cumulative Effect </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of Accounting Changes</w:t>
        <w:tab/>
        <w:t>(663)</w:t>
        <w:tab/>
        <w:t>303</w:t>
        <w:tab/>
        <w:t>187</w:t>
        <w:tab/>
        <w:t>797</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Cumulative Effect of Accounting Changes,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tab/>
      </w:r>
      <w:r>
        <w:rPr>
          <w:rFonts w:cs="Courier New" w:ascii="Courier New" w:hAnsi="Courier New"/>
          <w:u w:val="single"/>
        </w:rPr>
        <w:t xml:space="preserve">      -</w:t>
        <w:tab/>
        <w:t>-</w:t>
        <w:tab/>
        <w:t>19</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Net Income (Loss)</w:t>
        <w:tab/>
        <w:t>(663)</w:t>
        <w:tab/>
        <w:t>303</w:t>
        <w:tab/>
        <w:t>206</w:t>
        <w:tab/>
        <w:t>797</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Preferred Stock Dividends</w:t>
        <w:tab/>
      </w:r>
      <w:r>
        <w:rPr>
          <w:rFonts w:cs="Courier New" w:ascii="Courier New" w:hAnsi="Courier New"/>
          <w:u w:val="single"/>
        </w:rPr>
        <w:t xml:space="preserve">     20</w:t>
        <w:tab/>
        <w:t>21</w:t>
        <w:tab/>
        <w:t>61</w:t>
        <w:tab/>
        <w:t>62</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Earnings (Loss) on Common Stock</w:t>
        <w:tab/>
      </w:r>
      <w:r>
        <w:rPr>
          <w:rFonts w:cs="Courier New" w:ascii="Courier New" w:hAnsi="Courier New"/>
          <w:u w:val="double"/>
        </w:rPr>
        <w:t>$  (683)</w:t>
        <w:tab/>
        <w:t>$   282</w:t>
        <w:tab/>
        <w:t>$    145</w:t>
        <w:tab/>
        <w:t>$   735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Earnings (Loss)Per Share of Common Stock</w:t>
      </w:r>
    </w:p>
    <w:p>
      <w:pPr>
        <w:pStyle w:val="Normal"/>
        <w:tabs>
          <w:tab w:val="clear" w:pos="720"/>
          <w:tab w:val="left" w:pos="36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Basic</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 xml:space="preserve"> Changes</w:t>
        <w:tab/>
        <w:t>$ (0.90)</w:t>
        <w:tab/>
        <w:t>$  0.39</w:t>
        <w:tab/>
        <w:t>$   0.16</w:t>
        <w:tab/>
        <w:t>$  1.02</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0.03</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Basic Earnings (Loss) per Share</w:t>
        <w:tab/>
      </w:r>
      <w:r>
        <w:rPr>
          <w:rFonts w:cs="Courier New" w:ascii="Courier New" w:hAnsi="Courier New"/>
          <w:u w:val="double"/>
        </w:rPr>
        <w:t>$ (0.90)</w:t>
        <w:tab/>
        <w:t>$  0.39</w:t>
        <w:tab/>
        <w:t>$   0.19</w:t>
        <w:tab/>
        <w:t>$  1.02</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Diluted</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 xml:space="preserve"> Changes</w:t>
        <w:tab/>
        <w:t>$ (0.90)</w:t>
        <w:tab/>
        <w:t>$  0.35</w:t>
        <w:tab/>
        <w:t>$   0.16</w:t>
        <w:tab/>
        <w:t>$  0.94</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Diluted Earnings (Loss) per Share</w:t>
        <w:tab/>
      </w:r>
      <w:r>
        <w:rPr>
          <w:rFonts w:cs="Courier New" w:ascii="Courier New" w:hAnsi="Courier New"/>
          <w:u w:val="double"/>
        </w:rPr>
        <w:t>$ (0.90)</w:t>
        <w:tab/>
        <w:t>$  0.35</w:t>
        <w:tab/>
        <w:t>$   0.18</w:t>
        <w:tab/>
        <w:t>$  0.94</w:t>
      </w:r>
    </w:p>
    <w:p>
      <w:pPr>
        <w:pStyle w:val="Normal"/>
        <w:tabs>
          <w:tab w:val="clear" w:pos="720"/>
          <w:tab w:val="left" w:pos="360" w:leader="none"/>
          <w:tab w:val="decimal" w:pos="6480" w:leader="none"/>
          <w:tab w:val="decimal" w:pos="7920" w:leader="none"/>
          <w:tab w:val="decimal" w:pos="9000" w:leader="none"/>
          <w:tab w:val="decimal" w:pos="108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Average Number of Common Shares Used in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Computation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Basic</w:t>
        <w:tab/>
      </w:r>
      <w:r>
        <w:rPr>
          <w:rFonts w:cs="Courier New" w:ascii="Courier New" w:hAnsi="Courier New"/>
          <w:u w:val="double"/>
        </w:rPr>
        <w:t xml:space="preserve">    761</w:t>
        <w:tab/>
        <w:t xml:space="preserve">    729</w:t>
        <w:tab/>
        <w:t>753</w:t>
        <w:tab/>
        <w:t>719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Diluted</w:t>
        <w:tab/>
      </w:r>
      <w:r>
        <w:rPr>
          <w:rFonts w:cs="Courier New" w:ascii="Courier New" w:hAnsi="Courier New"/>
          <w:u w:val="double"/>
        </w:rPr>
        <w:t xml:space="preserve">    761</w:t>
        <w:tab/>
        <w:t xml:space="preserve">    858</w:t>
        <w:tab/>
        <w:t>806</w:t>
        <w:tab/>
        <w:t>848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Footer"/>
        <w:numPr>
          <w:ilvl w:val="0"/>
          <w:numId w:val="0"/>
        </w:numPr>
        <w:tabs>
          <w:tab w:val="clear" w:pos="4320"/>
          <w:tab w:val="clear" w:pos="8640"/>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ASSETS</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Assets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Cash and cash equivalents</w:t>
        <w:tab/>
        <w:t>$ 1,001</w:t>
        <w:tab/>
        <w:t>$ 1,240</w:t>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Trade receivables (net of allowance for doubtful</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accounts of $437 and $35, respectively)</w:t>
        <w:tab/>
        <w:t>9,208</w:t>
        <w:tab/>
        <w:t>10,491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 receivables</w:t>
        <w:tab/>
        <w:t>1,231</w:t>
        <w:tab/>
        <w:t>1,559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9,041</w:t>
        <w:tab/>
        <w:t>12,018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Inventories</w:t>
        <w:tab/>
        <w:t>836</w:t>
        <w:tab/>
        <w:t>953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Deposits</w:t>
        <w:tab/>
        <w:t>2,543</w:t>
        <w:tab/>
        <w:t>2,433</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987</w:t>
        <w:tab/>
        <w:t>1,333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24,847</w:t>
        <w:tab/>
        <w:t>30,027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Investments and Other Assets</w:t>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Investments in and advances to unconsolidated</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affiliates</w:t>
        <w:tab/>
        <w:t>6,350</w:t>
        <w:tab/>
        <w:t>5,599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9,687</w:t>
        <w:tab/>
        <w:t>8,990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Goodwill</w:t>
        <w:tab/>
        <w:t>3,548</w:t>
        <w:tab/>
        <w:t>3,720</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5,639</w:t>
        <w:tab/>
        <w:t>4,857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25,224</w:t>
        <w:tab/>
        <w:t>23,166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Property, Plant and Equipment, at cost</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Natural gas transmission</w:t>
        <w:tab/>
        <w:t>6,311</w:t>
        <w:tab/>
        <w:t>6,916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Electric generation and distribution</w:t>
        <w:tab/>
        <w:t>3,589</w:t>
        <w:tab/>
        <w:t>4,766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Fiber-optic network and equipment</w:t>
        <w:tab/>
        <w:t>957</w:t>
        <w:tab/>
        <w:t>829</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Construction in progress</w:t>
        <w:tab/>
        <w:t>906</w:t>
        <w:tab/>
        <w:t>682</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2,860</w:t>
        <w:tab/>
        <w:t>2,256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ab/>
        <w:t>14,623</w:t>
        <w:tab/>
        <w:t>15,449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Less accumulated depreciation, depletion</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 xml:space="preserve"> and amortization</w:t>
        <w:tab/>
      </w:r>
      <w:r>
        <w:rPr>
          <w:rFonts w:cs="Courier New" w:ascii="Courier New" w:hAnsi="Courier New"/>
          <w:u w:val="single"/>
        </w:rPr>
        <w:t xml:space="preserve">  3,708</w:t>
        <w:tab/>
        <w:t>3,716</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Net Property, Plant and Equipment</w:t>
        <w:tab/>
      </w:r>
      <w:r>
        <w:rPr>
          <w:rFonts w:cs="Courier New" w:ascii="Courier New" w:hAnsi="Courier New"/>
          <w:u w:val="single"/>
        </w:rPr>
        <w:t xml:space="preserve"> 10,915</w:t>
        <w:tab/>
        <w:t>11,733</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Assets</w:t>
        <w:tab/>
      </w:r>
      <w:r>
        <w:rPr>
          <w:rFonts w:cs="Courier New" w:ascii="Courier New" w:hAnsi="Courier New"/>
          <w:u w:val="double"/>
        </w:rPr>
        <w:t>$60,986</w:t>
        <w:tab/>
        <w:t>$64,926</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LIABILITIES AND SHAREHOLDERS’ EQUITY</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Accounts payable</w:t>
        <w:tab/>
        <w:t>$ 7,787</w:t>
        <w:tab/>
        <w:t>$ 9,577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8,893</w:t>
        <w:tab/>
        <w:t>10,495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Short-term debt</w:t>
        <w:tab/>
        <w:t>5,078</w:t>
        <w:tab/>
        <w:t>2,192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Customers’ deposits</w:t>
        <w:tab/>
        <w:t>1,770</w:t>
        <w:tab/>
        <w:t>4,277</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2,121</w:t>
      </w:r>
      <w:r>
        <w:rPr>
          <w:u w:val="single"/>
        </w:rPr>
        <w:tab/>
      </w:r>
      <w:r>
        <w:rPr>
          <w:rFonts w:cs="Courier New" w:ascii="Courier New" w:hAnsi="Courier New"/>
          <w:u w:val="single"/>
        </w:rPr>
        <w:t>2,200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Liabilities</w:t>
        <w:tab/>
      </w:r>
      <w:r>
        <w:rPr>
          <w:rFonts w:cs="Courier New" w:ascii="Courier New" w:hAnsi="Courier New"/>
          <w:u w:val="single"/>
        </w:rPr>
        <w:t xml:space="preserve"> 25,649</w:t>
        <w:tab/>
        <w:t>28,741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Long-Term Debt</w:t>
        <w:tab/>
      </w:r>
      <w:r>
        <w:rPr>
          <w:rFonts w:cs="Courier New" w:ascii="Courier New" w:hAnsi="Courier New"/>
          <w:u w:val="single"/>
        </w:rPr>
        <w:t xml:space="preserve">  7,900</w:t>
        <w:tab/>
        <w:t>8,665</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Deferred Credits and Other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Deferred income taxes</w:t>
        <w:tab/>
        <w:t>1,941</w:t>
        <w:tab/>
        <w:t>1,679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10,070</w:t>
        <w:tab/>
        <w:t>9,519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2,557</w:t>
        <w:tab/>
        <w:t>2,692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Deferred Credits and Other Liabilities</w:t>
        <w:tab/>
      </w:r>
      <w:r>
        <w:rPr>
          <w:rFonts w:cs="Courier New" w:ascii="Courier New" w:hAnsi="Courier New"/>
          <w:u w:val="single"/>
        </w:rPr>
        <w:t xml:space="preserve"> 14,568</w:t>
        <w:tab/>
        <w:t>13,890</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Minority Interests</w:t>
        <w:tab/>
      </w:r>
      <w:r>
        <w:rPr>
          <w:rFonts w:cs="Courier New" w:ascii="Courier New" w:hAnsi="Courier New"/>
          <w:u w:val="single"/>
        </w:rPr>
        <w:t xml:space="preserve">  2,387</w:t>
        <w:tab/>
        <w:t>2,437</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Company-Obligated Preferred Securities of Subsidiaries</w:t>
        <w:tab/>
      </w:r>
      <w:r>
        <w:rPr>
          <w:rFonts w:cs="Courier New" w:ascii="Courier New" w:hAnsi="Courier New"/>
          <w:u w:val="single"/>
        </w:rPr>
        <w:t xml:space="preserve">    903</w:t>
        <w:tab/>
        <w:t>904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Shareholders’ Equity</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Second preferred stock, cumulative, no par value</w:t>
        <w:tab/>
        <w:t>115</w:t>
        <w:tab/>
        <w:t>124</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Mandatorily Convertible Junior Preferred Stock,</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Series B, no par value</w:t>
        <w:tab/>
        <w:t>1,000</w:t>
        <w:tab/>
        <w:t>1,000</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no par value</w:t>
        <w:tab/>
        <w:t>8,132</w:t>
        <w:tab/>
        <w:t>8,160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Retained earnings</w:t>
        <w:tab/>
        <w:t>2,326</w:t>
        <w:tab/>
        <w:t>2,613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Accumulated other comprehensive income</w:t>
        <w:tab/>
        <w:t>(1,527)</w:t>
        <w:tab/>
        <w:t>(1,198)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held in treasury</w:t>
        <w:tab/>
        <w:t>(327)</w:t>
        <w:tab/>
        <w:t>(262)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Restricted stock and other</w:t>
        <w:tab/>
      </w:r>
      <w:r>
        <w:rPr>
          <w:rFonts w:cs="Courier New" w:ascii="Courier New" w:hAnsi="Courier New"/>
          <w:u w:val="single"/>
        </w:rPr>
        <w:t xml:space="preserve">   (140)</w:t>
        <w:tab/>
        <w:t>(148</w:t>
      </w:r>
      <w:r>
        <w:rPr>
          <w:rFonts w:cs="Courier New" w:ascii="Courier New" w:hAnsi="Courier New"/>
        </w:rPr>
        <w:t>)</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w:t>
        <w:tab/>
      </w:r>
      <w:r>
        <w:rPr>
          <w:rFonts w:cs="Courier New" w:ascii="Courier New" w:hAnsi="Courier New"/>
          <w:u w:val="single"/>
        </w:rPr>
        <w:t xml:space="preserve">  9,579</w:t>
        <w:tab/>
        <w:t>10,289</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Liabilities and Shareholders’ Equity</w:t>
        <w:tab/>
      </w:r>
      <w:r>
        <w:rPr>
          <w:rFonts w:cs="Courier New" w:ascii="Courier New" w:hAnsi="Courier New"/>
          <w:u w:val="double"/>
        </w:rPr>
        <w:t>$60,986</w:t>
        <w:tab/>
        <w:t>$64,926</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STATEMENT OF CASH FLOWS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left" w:pos="7020" w:leader="none"/>
          <w:tab w:val="center" w:pos="8730" w:leader="none"/>
          <w:tab w:val="left" w:pos="10440" w:leader="none"/>
        </w:tabs>
        <w:outlineLvl w:val="0"/>
        <w:rPr>
          <w:rFonts w:ascii="Courier New" w:hAnsi="Courier New" w:cs="Courier New"/>
        </w:rPr>
      </w:pPr>
      <w:r>
        <w:rPr>
          <w:rFonts w:cs="Courier New" w:ascii="Courier New" w:hAnsi="Courier New"/>
        </w:rPr>
        <w:tab/>
        <w:tab/>
        <w:tab/>
        <w:tab/>
        <w:t>Nine Months Ended</w:t>
      </w:r>
    </w:p>
    <w:p>
      <w:pPr>
        <w:pStyle w:val="Normal"/>
        <w:numPr>
          <w:ilvl w:val="0"/>
          <w:numId w:val="0"/>
        </w:numPr>
        <w:tabs>
          <w:tab w:val="left" w:pos="360" w:leader="none"/>
          <w:tab w:val="left" w:pos="720" w:leader="none"/>
          <w:tab w:val="left" w:pos="7200" w:leader="none"/>
          <w:tab w:val="center" w:pos="8730" w:leader="none"/>
          <w:tab w:val="left" w:pos="10260" w:leader="none"/>
        </w:tabs>
        <w:outlineLvl w:val="0"/>
        <w:rPr>
          <w:rFonts w:ascii="Courier New" w:hAnsi="Courier New" w:cs="Courier New"/>
        </w:rPr>
      </w:pPr>
      <w:r>
        <w:rPr>
          <w:rFonts w:cs="Courier New" w:ascii="Courier New" w:hAnsi="Courier New"/>
        </w:rPr>
        <w:tab/>
        <w:tab/>
        <w:tab/>
      </w:r>
      <w:r>
        <w:rPr>
          <w:rFonts w:cs="Courier New" w:ascii="Courier New" w:hAnsi="Courier New"/>
          <w:u w:val="single"/>
        </w:rPr>
        <w:tab/>
        <w:t>September 30,</w:t>
        <w:tab/>
      </w:r>
    </w:p>
    <w:p>
      <w:pPr>
        <w:pStyle w:val="Normal"/>
        <w:tabs>
          <w:tab w:val="left" w:pos="360" w:leader="none"/>
          <w:tab w:val="left" w:pos="720" w:leader="none"/>
          <w:tab w:val="left" w:pos="7200" w:leader="none"/>
          <w:tab w:val="center" w:pos="7920" w:leader="none"/>
          <w:tab w:val="center" w:pos="9630" w:leader="none"/>
          <w:tab w:val="left" w:pos="1026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280" w:leader="none"/>
          <w:tab w:val="decimal" w:pos="9900" w:leader="none"/>
        </w:tabs>
        <w:outlineLvl w:val="0"/>
        <w:rPr>
          <w:rFonts w:ascii="Courier New" w:hAnsi="Courier New" w:cs="Courier New"/>
        </w:rPr>
      </w:pPr>
      <w:r>
        <w:rPr>
          <w:rFonts w:cs="Courier New" w:ascii="Courier New" w:hAnsi="Courier New"/>
        </w:rPr>
        <w:t>Cash Flows From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Reconciliation of net income to net cash</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provided by (used in)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Net income</w:t>
        <w:tab/>
        <w:t>$   206</w:t>
        <w:tab/>
        <w:t>$   797</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Cumulative effect of accounting changes, net of tax</w:t>
        <w:tab/>
        <w:t>(19)</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Depreciation, depletion and amortization</w:t>
        <w:tab/>
        <w:t>746</w:t>
        <w:tab/>
        <w:t>620</w:t>
      </w:r>
    </w:p>
    <w:p>
      <w:pPr>
        <w:pStyle w:val="Footer"/>
        <w:tabs>
          <w:tab w:val="clear" w:pos="4320"/>
          <w:tab w:val="clear" w:pos="8640"/>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Deferred income taxes</w:t>
        <w:tab/>
        <w:t>(141)</w:t>
        <w:tab/>
        <w:t>8</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Gains on sales of assets and investments</w:t>
        <w:tab/>
        <w:t>(49)</w:t>
        <w:tab/>
        <w:t>(135)</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Investment losses</w:t>
        <w:tab/>
        <w:t>783</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Changes in components of working capital:</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Net margin deposit activity</w:t>
        <w:tab/>
        <w:t>(2,349)</w:t>
        <w:tab/>
        <w:t>541</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Other working capital</w:t>
        <w:tab/>
        <w:t>(191)</w:t>
        <w:tab/>
        <w:t>(1,014)</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assets from price risk management activities</w:t>
        <w:tab/>
        <w:t>412</w:t>
        <w:tab/>
        <w:t>(830)</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Merchant assets and investments: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Realized (gains) losses on sales</w:t>
        <w:tab/>
        <w:t>(82)</w:t>
        <w:tab/>
        <w:t>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Proceeds from sales</w:t>
        <w:tab/>
        <w:t>732</w:t>
        <w:tab/>
        <w:t>728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Additions</w:t>
        <w:tab/>
        <w:t>(682)</w:t>
        <w:tab/>
        <w:t>(1,418)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Unrealized losses</w:t>
        <w:tab/>
        <w:t>241</w:t>
        <w:tab/>
        <w:t>129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Other, net</w:t>
        <w:tab/>
      </w:r>
      <w:r>
        <w:rPr>
          <w:rFonts w:cs="Courier New" w:ascii="Courier New" w:hAnsi="Courier New"/>
          <w:u w:val="single"/>
        </w:rPr>
        <w:t xml:space="preserve">   (369)</w:t>
        <w:tab/>
        <w:t>695</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Provided by (Used in) Operating Activities</w:t>
        <w:tab/>
      </w:r>
      <w:r>
        <w:rPr>
          <w:rFonts w:cs="Courier New" w:ascii="Courier New" w:hAnsi="Courier New"/>
          <w:u w:val="single"/>
        </w:rPr>
        <w:t xml:space="preserve">   (762)</w:t>
        <w:tab/>
        <w:t>127</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Investing Activities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Capital expenditures</w:t>
        <w:tab/>
        <w:t>(1,592)</w:t>
        <w:tab/>
        <w:t>(1,539)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Equity investments</w:t>
        <w:tab/>
        <w:t>(1,172)</w:t>
        <w:tab/>
        <w:t>(858)</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Proceeds from sales of non-merchant assets</w:t>
        <w:tab/>
        <w:t>1,711</w:t>
        <w:tab/>
        <w:t>222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Acquisition of subsidiary stock</w:t>
        <w:tab/>
        <w:t>-</w:t>
        <w:tab/>
        <w:t>(743)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Business acquisitions, net of cash acquired</w:t>
        <w:tab/>
        <w:t>(82)</w:t>
        <w:tab/>
        <w:t>(515)</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investing activities</w:t>
        <w:tab/>
      </w:r>
      <w:r>
        <w:rPr>
          <w:rFonts w:cs="Courier New" w:ascii="Courier New" w:hAnsi="Courier New"/>
          <w:u w:val="single"/>
        </w:rPr>
        <w:t xml:space="preserve">   (239)</w:t>
        <w:tab/>
        <w:t>(147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Used in Investing Activities</w:t>
        <w:tab/>
      </w:r>
      <w:r>
        <w:rPr>
          <w:rFonts w:cs="Courier New" w:ascii="Courier New" w:hAnsi="Courier New"/>
          <w:u w:val="single"/>
        </w:rPr>
        <w:t xml:space="preserve"> (1,374)</w:t>
        <w:tab/>
        <w:t>(3,580</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Financing Activities</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long-term debt</w:t>
        <w:tab/>
        <w:t>4,060</w:t>
        <w:tab/>
        <w:t>2,725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Repayment of long-term debt</w:t>
        <w:tab/>
        <w:t>(3,903)</w:t>
        <w:tab/>
        <w:t>(579)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increase in short-term borrowings</w:t>
        <w:tab/>
        <w:t>2,382</w:t>
        <w:tab/>
        <w:t>1,694</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common stock</w:t>
        <w:tab/>
        <w:t>201</w:t>
        <w:tab/>
        <w:t>182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redemption of company-obligated preferred</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 xml:space="preserve"> securities of subsidiaries</w:t>
        <w:tab/>
        <w:t>-</w:t>
        <w:tab/>
        <w:t>(95)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Dividends paid</w:t>
        <w:tab/>
        <w:t>(394)</w:t>
        <w:tab/>
        <w:t>(396)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(acquisition) disposition of treasury stock</w:t>
        <w:tab/>
        <w:t>(400)</w:t>
        <w:tab/>
        <w:t>354</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financing activities</w:t>
        <w:tab/>
      </w:r>
      <w:r>
        <w:rPr>
          <w:rFonts w:cs="Courier New" w:ascii="Courier New" w:hAnsi="Courier New"/>
          <w:u w:val="single"/>
        </w:rPr>
        <w:t xml:space="preserve">    (49)</w:t>
        <w:tab/>
        <w:t>(12</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Net Cash Provided by Financing Activities</w:t>
        <w:tab/>
      </w:r>
      <w:r>
        <w:rPr>
          <w:rFonts w:cs="Courier New" w:ascii="Courier New" w:hAnsi="Courier New"/>
          <w:u w:val="single"/>
        </w:rPr>
        <w:t xml:space="preserve">  1,897</w:t>
        <w:tab/>
        <w:t>3,873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Increase (Decrease) in Cash and Cash Equivalents</w:t>
        <w:tab/>
        <w:t>(239)</w:t>
        <w:tab/>
        <w:t>420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Beginning of Period</w:t>
        <w:tab/>
      </w:r>
      <w:r>
        <w:rPr>
          <w:rFonts w:cs="Courier New" w:ascii="Courier New" w:hAnsi="Courier New"/>
          <w:u w:val="single"/>
        </w:rPr>
        <w:t xml:space="preserve">  1,240</w:t>
        <w:tab/>
        <w:t>333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End of Period</w:t>
        <w:tab/>
      </w:r>
      <w:r>
        <w:rPr>
          <w:rFonts w:cs="Courier New" w:ascii="Courier New" w:hAnsi="Courier New"/>
          <w:u w:val="double"/>
        </w:rPr>
        <w:t>$ 1,001</w:t>
        <w:tab/>
        <w:t>$   753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u w:val="double"/>
        </w:rPr>
      </w:pPr>
      <w:r>
        <w:rPr>
          <w:rFonts w:cs="Courier New" w:ascii="Courier New" w:hAnsi="Courier New"/>
          <w:u w:val="double"/>
        </w:rPr>
      </w:r>
    </w:p>
    <w:p>
      <w:pPr>
        <w:pStyle w:val="Normal"/>
        <w:numPr>
          <w:ilvl w:val="0"/>
          <w:numId w:val="0"/>
        </w:numPr>
        <w:tabs>
          <w:tab w:val="left" w:pos="360" w:leader="none"/>
          <w:tab w:val="left" w:pos="720" w:leader="none"/>
          <w:tab w:val="left" w:pos="1080" w:leader="none"/>
          <w:tab w:val="decimal" w:pos="8280" w:leader="none"/>
          <w:tab w:val="decimal" w:pos="9900" w:leader="none"/>
        </w:tabs>
        <w:outlineLvl w:val="0"/>
        <w:rPr>
          <w:rFonts w:ascii="Courier New" w:hAnsi="Courier New" w:cs="Courier New"/>
        </w:rPr>
      </w:pPr>
      <w:r>
        <w:rPr>
          <w:rFonts w:cs="Courier New" w:ascii="Courier New" w:hAnsi="Courier New"/>
        </w:rPr>
        <w:t>Changes in Components of Other Working Capital</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Receivables</w:t>
        <w:tab/>
        <w:t>$1,014</w:t>
        <w:tab/>
        <w:t>$(3,363)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Inventories</w:t>
        <w:tab/>
        <w:t>1</w:t>
        <w:tab/>
        <w:t>339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Payables</w:t>
        <w:tab/>
        <w:t>(1,649)</w:t>
        <w:tab/>
        <w:t>2,899</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w:t>
        <w:tab/>
        <w:tab/>
      </w:r>
      <w:r>
        <w:rPr>
          <w:rFonts w:cs="Courier New" w:ascii="Courier New" w:hAnsi="Courier New"/>
          <w:u w:val="single"/>
        </w:rPr>
        <w:t xml:space="preserve">    443</w:t>
        <w:tab/>
        <w:t>(889</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Total</w:t>
        <w:tab/>
      </w:r>
      <w:r>
        <w:rPr>
          <w:rFonts w:cs="Courier New" w:ascii="Courier New" w:hAnsi="Courier New"/>
          <w:u w:val="double"/>
        </w:rPr>
        <w:t>$  (191)</w:t>
        <w:tab/>
        <w:t>$(1,014</w:t>
      </w:r>
      <w:r>
        <w:rPr>
          <w:rFonts w:cs="Courier New" w:ascii="Courier New" w:hAnsi="Courier New"/>
        </w:rPr>
        <w:t>)</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fmt="decimal"/>
          <w:formProt w:val="false"/>
          <w:textDirection w:val="lrTb"/>
          <w:docGrid w:type="default" w:linePitch="360" w:charSpace="0"/>
        </w:sectPr>
        <w:pStyle w:val="Normal"/>
        <w:tabs>
          <w:tab w:val="left" w:pos="360" w:leader="none"/>
          <w:tab w:val="left" w:pos="720" w:leader="none"/>
          <w:tab w:val="left" w:pos="1080" w:leader="none"/>
          <w:tab w:val="decimal" w:pos="8280" w:leader="none"/>
          <w:tab w:val="decimal" w:pos="990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PART I. FINANCIAL INFORMATION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ITEM 1. FINANCIAL STATEMENTS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NOTES TO CONSOLIDATED FINANCIAL STATEMENTS</w:t>
      </w:r>
    </w:p>
    <w:p>
      <w:pPr>
        <w:pStyle w:val="Normal"/>
        <w:tabs>
          <w:tab w:val="clear" w:pos="720"/>
          <w:tab w:val="left" w:pos="540" w:leader="none"/>
        </w:tabs>
        <w:jc w:val="both"/>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outlineLvl w:val="0"/>
        <w:rPr/>
      </w:pPr>
      <w:r>
        <w:rPr>
          <w:rFonts w:cs="Courier New" w:ascii="Courier New" w:hAnsi="Courier New"/>
          <w:b/>
        </w:rPr>
        <w:t>1.</w:t>
      </w:r>
      <w:r>
        <w:rPr>
          <w:rFonts w:cs="Courier New" w:ascii="Courier New" w:hAnsi="Courier New"/>
        </w:rPr>
        <w:tab/>
      </w:r>
      <w:r>
        <w:rPr>
          <w:rFonts w:cs="Courier New" w:ascii="Courier New" w:hAnsi="Courier New"/>
          <w:b/>
        </w:rPr>
        <w:t>BASIS OF PRESENTATION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As discussed in Note 3, on November 8, 2001, Enron announced that it will restate its Consolidated Financial Statements for the years ended December 31, 1997 through 2000 and for the first and second quarters of 2001.  As a result, the previously-issued financial statements for these periods and the audit reports covering the year-end financial statements for 1997 through 2000 should not be relied upon.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As further discussed in Note 2, the Securities and Exchange Commission (SEC) has opened a formal investigation of certain related party transactions.  Additionally, the Board of Directors (Board) has formed a special committee (Special Committee) to conduct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duration of the SEC and Special Committee investigations, and the ultimate results of those investigations, have not yet been determined.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consolidated financial statements included herein have been prepared by Enron Corp. (Enron) without audit pursuant to the rules and regulations of the SEC.  Contrary to the rules of the SEC, the Consolidated Financial Statements included herein have not been reviewed by an independent public accountant using professional standards and procedures for conducting such reviews, as established by generally accepted auditing standards, because of the ongoing investigation by the Special Committee discussed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These statements reflect all adjustments (consisting of the restatement items discussed in Note 3, and normal recurring entries) which are, in the opinion of management, necessary for a fair statement of the financial results for the interim periods.  The Consolidated Financial Statements included herein have been adjusted to reflect the impacts of the restatements discussed in Note 3 based on Enron’s current understanding of the relevant facts as of the date of filing of this report.  For the impacts on Enron’s Consolidated Financial Statements for the years ended December 31, 1997 through 2000 and for the first and second quarters of 2001, see Note 3.  It is possible that the investigation by the Special Committee will identify additional or different information concerning these matters which may require additional or different restatements.  Accordingly, Enron will not file amendments to its annual reports on Forms 10-K for the years ended December 31, 1997 through 2000, or its Quarterly Reports on Form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Consistent with SEC requirements for interim reporting, certain information and notes normally included in financial statements prepared in accordance with generally accepted accounting principles have been condensed or omitted pursuant to such rules and regulations.  Enron believes that the disclosures are adequate to make the information presented not misleading.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Certain reclassifications have been made in the 2000 amounts to conform with the 2001 presentation.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2.</w:t>
        <w:tab/>
        <w:t>RECENT EVENTS</w:t>
      </w:r>
    </w:p>
    <w:p>
      <w:pPr>
        <w:pStyle w:val="EnvelopeReturn"/>
        <w:tabs>
          <w:tab w:val="clear" w:pos="720"/>
          <w:tab w:val="left" w:pos="540" w:leader="none"/>
        </w:tabs>
        <w:rPr>
          <w:rFonts w:ascii="Courier New" w:hAnsi="Courier New" w:cs="Courier New"/>
          <w:caps w:val="false"/>
          <w:smallCaps w:val="false"/>
          <w:sz w:val="20"/>
        </w:rPr>
      </w:pPr>
      <w:r>
        <w:rPr>
          <w:rFonts w:cs="Courier New" w:ascii="Courier New" w:hAnsi="Courier New"/>
          <w:caps w:val="false"/>
          <w:smallCaps w:val="false"/>
          <w:sz w:val="20"/>
        </w:rPr>
      </w:r>
    </w:p>
    <w:p>
      <w:pPr>
        <w:pStyle w:val="Normal"/>
        <w:tabs>
          <w:tab w:val="clear" w:pos="720"/>
          <w:tab w:val="left" w:pos="540" w:leader="none"/>
        </w:tabs>
        <w:rPr/>
      </w:pPr>
      <w:r>
        <w:rPr>
          <w:rFonts w:cs="Courier New" w:ascii="Courier New" w:hAnsi="Courier New"/>
        </w:rPr>
        <w:tab/>
      </w:r>
      <w:r>
        <w:rPr>
          <w:rFonts w:cs="Courier New" w:ascii="Courier New" w:hAnsi="Courier New"/>
          <w:b/>
        </w:rPr>
        <w:t>Financial Condition.</w:t>
      </w:r>
      <w:r>
        <w:rPr>
          <w:rFonts w:cs="Courier New" w:ascii="Courier New" w:hAnsi="Courier New"/>
        </w:rPr>
        <w:t xml:space="preserve">  Following Enron’s announcement of its third quarter 2001 results on October 16, 2001, there was a significant decrease in Enron’s common share price and subsequent decreases in the credit ratings of Enron’s long-term debt to BBB- and Baa3 (the lowest level of investment grade) with a warning that further downgrades were possible.  This situation resulted in a loss of investor confidence and significantly affected Enron’s ability to raise capital.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Maintaining an investment grade credit rating is a critical element in maintaining liquidity for Enron’s wholesale business which, together with the natural gas pipeline operations and the retail business, comprise Enron’s core businesses discussed below.  As a part of their standard contractual arrangements, Enron and its trading counterparties regularly post cash deposits or letters of credit to collateralize a portion of their trading obligations.  A downgrade to below investment grade could lead to a substantial increase in the level of cash required for collateral and margin deposits with Enron’s wholesale trading partners.  In the event its credit rating is further downgraded, Enron will unlikely be unable to meet the collateral requirements of its trading partners, which would accelerate Enron’s obligations under its trading and marketing contracts and amounts outstanding under certain of its various debt facilities.  </w:t>
      </w:r>
    </w:p>
    <w:p>
      <w:pPr>
        <w:pStyle w:val="Normal"/>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i/>
        </w:rPr>
        <w:tab/>
        <w:t>Liquidity Actions.</w:t>
      </w:r>
      <w:r>
        <w:rPr>
          <w:rFonts w:cs="Courier New" w:ascii="Courier New" w:hAnsi="Courier New"/>
          <w:b/>
        </w:rPr>
        <w:t xml:space="preserve">  </w:t>
      </w:r>
      <w:r>
        <w:rPr>
          <w:rFonts w:cs="Courier New" w:ascii="Courier New" w:hAnsi="Courier New"/>
        </w:rPr>
        <w:t>Enron has implemented a financial strategy to restore investor confidence and will continue its initiatives in this regard.  Enron has taken the following steps to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Enron borrowed approximately $3.0 billion from its committed lines of credit to repay outstanding and expiring commercial paper obligations of approximately $1.9 billion and to provide immediate cash liquidity.  This action to convert Enron’s committed lines of credit to cash was done to eliminate any doubt as to their availability in the future.</w:t>
      </w:r>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In an effort to further enhance short-term liquidity, on November 13 and [19], 2001, Enron obtained $550 million and $450 million, respectively, in new secured lines of credit from JP Morgan Chase &amp; Co. and Citigroup Inc., secured by Enron’s Transwestern Pipeline Company and Northern Natural Gas Company assets.  These proceeds will be used to further supplement short-term liquidity and to retire maturing obligations;</w:t>
      </w:r>
    </w:p>
    <w:p>
      <w:pPr>
        <w:pStyle w:val="Normal"/>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On November 13, 2001, Enron received a $1.5 billion equity infusion in the form of a preferred stock investment in Northern Natural Gas Company 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anticipates the receipt of over $800 million in net proceeds from asset sales scheduled to close by year-end.  However, the closings of these sale transactions are pending certain regulatory and other approvals that will impact whether such transactions close and the ultimate timing of the closings.  Of the net proceeds, $250 million, or a portion thereof, may be required to repay an obligation that may become a demand obligation due to a recent credit rating downgrade discussed below and in Note 9;</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can be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pPr>
      <w:r>
        <w:rPr>
          <w:rFonts w:cs="Courier New" w:ascii="Courier New" w:hAnsi="Courier New"/>
          <w:i/>
        </w:rPr>
        <w:tab/>
        <w:t>Restructuring Plan.</w:t>
      </w:r>
      <w:r>
        <w:rPr>
          <w:rFonts w:cs="Courier New" w:ascii="Courier New" w:hAnsi="Courier New"/>
          <w:b/>
        </w:rPr>
        <w:t xml:space="preserve">  </w:t>
      </w:r>
      <w:r>
        <w:rPr>
          <w:rFonts w:cs="Courier New" w:ascii="Courier New" w:hAnsi="Courier New"/>
          <w:bCs/>
        </w:rPr>
        <w:t>As a result of the merger agreement and the loss of investor confidence, Enron has initiated an action plan for restructuring its business.</w:t>
      </w:r>
      <w:r>
        <w:rPr>
          <w:rFonts w:cs="Courier New" w:ascii="Courier New" w:hAnsi="Courier New"/>
        </w:rPr>
        <w:t xml:space="preserve">  The key aspects of the action plan involve (i) concentrating primarily on its core businesses; (ii) taking aggressive steps to rationalize the existing cost structure; (iii) accelerating the process of divesting non-core businesses and assets; (iv) restructuring scheduled maturities of debt and other obligations; (v) completing the investigation by the Special Committee and its advisors with respect to related party transactions; (vi) reviewing and strengthening Enron’s corporate governance; and (vii) expanding certain disclosures with a focus on increased transparency.  Management and the Board have not completed nor approved a restructuring plan.  Such restructuring plan is currently being prepared and, therefore, Enron is unable to estimate the final impacts.  Enron’s fourth quarter 2001 results of operations will likely be negatively impacted by severance costs and other restructuring charges resulting from the repositioning of many of Enron’s businesses.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their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6"/>
        </w:numPr>
        <w:rPr>
          <w:rFonts w:ascii="Courier New" w:hAnsi="Courier New" w:cs="Courier New"/>
        </w:rPr>
      </w:pPr>
      <w:r>
        <w:rPr>
          <w:rFonts w:cs="Courier New" w:ascii="Courier New" w:hAnsi="Courier New"/>
        </w:rPr>
        <w:t>Gas and power businesses in North America and Europe;</w:t>
      </w:r>
    </w:p>
    <w:p>
      <w:pPr>
        <w:pStyle w:val="Normal"/>
        <w:numPr>
          <w:ilvl w:val="1"/>
          <w:numId w:val="6"/>
        </w:numPr>
        <w:rPr>
          <w:rFonts w:ascii="Courier New" w:hAnsi="Courier New" w:cs="Courier New"/>
        </w:rPr>
      </w:pPr>
      <w:r>
        <w:rPr>
          <w:rFonts w:cs="Courier New" w:ascii="Courier New" w:hAnsi="Courier New"/>
        </w:rPr>
        <w:t>Coal businesses in North America and Europe;</w:t>
      </w:r>
    </w:p>
    <w:p>
      <w:pPr>
        <w:pStyle w:val="Normal"/>
        <w:numPr>
          <w:ilvl w:val="1"/>
          <w:numId w:val="6"/>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6"/>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Non-Core businesses are businesses that do not provide value to Enron’s core businesses.  These primarily are part of Enron’s global assets and broadband services segments.  Enron has over $8 billion invested in these businesses and the return from these investments is below acceptable rates.  Accordingly, Enron is developing a plan to exit these businesses in an orderly fashion.  Enron expects that the sale of these non-core businesses will generate cash proceeds that will be used to repay debt.  These businesses are carried on Enron’s books based on a going concern valuation.  Should the exit strategy, currently being prepared, result in a lower value, then Enron may be required to record related asset writedowns,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Businesses Under Review are businesses that Enron believes have strong future prospects; however, under the restructuring program,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Impact of Recent Events.</w:t>
      </w:r>
      <w:r>
        <w:rPr>
          <w:rFonts w:cs="Courier New" w:ascii="Courier New" w:hAnsi="Courier New"/>
        </w:rPr>
        <w:t xml:space="preserve">  The recent deterioration in Enron’s credit rating has caused a negative impact on Enron’s projected 2001 fourth quarter profitability.  This is primarily the result of a reduced level of transaction activity by Enron’s trading counterparties, particularly longer-term transactions.  It is too early to determine the impact these events will have on Enron’s fourth quarter 2001 operating results.  Additionally, the fourth quarter of 2001 will likely be negatively impacted by severance costs and other restructuring charges resulting from the repositioning of many of Enron’s businesses consistent with the restructuring plan.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various financial arrangements which require Enron to maintain specified credit ratings.  The November 12, 2001 downgrade in Enron’s senior unsecured debt rating to BBB- by Standard &amp; Poor’s has caused a ratings event related to a $690 million note payable that, absent Enron posting collateral, will become a demand obligation on November 26, 2001.  See Note 9 for a description of this obligation.  Consistent with the restructuring plan discussed above, Enron is currently working with the lenders to develop a mutually acceptable amendment to the transaction in order to avoid an early Enron payment obligation.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r>
      <w:r>
        <w:rPr>
          <w:rFonts w:cs="Courier New" w:ascii="Courier New" w:hAnsi="Courier New"/>
        </w:rPr>
        <w:t xml:space="preserve">In the event Enron loses its investment grade debt rating together with Enron’s current stock price would cause a Note Trigger Event for which Enron could be required to repay, refinance or cash collateralize additional facilities totaling $3.9 billion, which primarily consist of $2.4 billion of debt in Osprey Trust (Osprey) and $915 million of debt in Marlin Water Trust (Marlin).  The debt obligations of Marlin and Osprey contain certain Note Trigger Events to protect the note holders.  For a description of the Marlin and Osprey Trusts, both of which are unconsolidated affiliates, and related debt obligations, see Note 8.  In the event a Note Trigger Event occurs, Enron must either issue equity in an amount sufficient to repay the notes or Enron is obligated to immediately pay the difference in cash.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that Enron fails to repay each of the above obligations when due, including when such obligations may be accelerated, or is unable to obtain a waiver of such obligations, a series of events would begin which could impact Enron’s compliance with the terms of its Revolving Credit Agreements and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It is not possible to predict whether any or all of the actions described above (including the sale of non-core businesses and assets and the refinancing or waiver of Enron obligations that may become immediately payable upon scheduled maturities or due to an acceleration event) will be adequate to maintain Enron’s investment grade credit rating or enable Enron to refinance or otherwise restructure its debt obligations that become due.  An adverse outcome with respect to any of these matters would likely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Merger With Dynegy and Related Equity Financing.</w:t>
      </w:r>
      <w:r>
        <w:rPr>
          <w:rFonts w:cs="Courier New" w:ascii="Courier New" w:hAnsi="Courier New"/>
        </w:rPr>
        <w:t xml:space="preserve">  On November 9, 2001, Enron and Dynegy announced the execution of a definitive agreement providing for a merger of the two companies.  The merger agreement contemplates that both Enron and Dynegy will merge with separate subsidiaries of a newly formed holding company to be named Dynegy Inc. (New Dynegy).  As a result of the mergers, both Enron and Dynegy would become wholly owned subsidiaries of New Dynegy.  However, the merger agreement provides that both parties will cooperate with each other in analyzing and determining an alternative structure that results in a single corporation with substantially all the senior debt (other that that of regulated utility subsidiaries) of the two companies.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terms of the merger agreement, Enron shareholders will receive 0.2685 shares of New Dynegy Class A common stock per share of Enron common stock, subject to adjustment as provided below.  Dynegy shareholders will receive one share of New Dynegy Class A common stock or Class B common stock for their existing shares of Dynegy Class A common stock or Class B common stock, respectively.  As a result of the merger, Dynegy’s current stockholders will own approximately 64 percent of the common stock of New Dynegy and Enron’s stockholders will own approximately 36 percent.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proposed merger is subject to the approval of Enron’s and Dynegy’s shareholders, regulatory approvals and other customary conditions, including the absence of any event after November 9, 2001 that would have a material adverse effect on Enron, excluding the effects of general economic and industry conditions.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  Assuming all approvals are obtained and conditions satisfied or waived, the merger is expected to close by the end of the third quarter of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merger agreement also provides that, in the event the merger agreement is terminated in certain circumstances involving a competing offer to acquire Enron or a change in the Enron board’s recommendation of the merger, Enron would pay Dynegy a break-up fee of $350 million.  Dynegy must pay a similar fee to Enron in the event of corresponding actions with respect to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merger agreement, Enron is entitled to issue up to $2 billion of additional equity prior to closing of the merger.  However, the Enron merger ratio is subject to downward adjustment if Enron issues equity at an Enron common stock price below the implied Enron common stock price determined by multiplying the Enron merger exchange ratio by the then current Dynegy common stock price.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connection with the merger agreement, Dynegy entered into a subscription agreement with Enron and Northern Natural Gas Company, an Enron subsidiary (NNG), pursuant to which Dynegy agreed to purchase 1,000 shares of NNG’s Series A preferred stock for $1.5 billion.  This purchase was consummated on November 13, 2001.  Additionally, Dynegy has agreed to invest an additional $1 billion in Enron at the closing of the merger.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preferred stock provides for cumulative dividends at the rate of 6% per annum (subject to declaration by the NNG board of directors) payable annually beginning on January 31, 2003, or, at NNG’s option, quarterly.  Unpaid dividends accrue additional dividends at 6% per annum.  Upon any liquidation or winding up of NNG, the holders of the preferred stock would be entitled to receive in preference to the holders of the NNG common stock, an amount equal to $1.5 million per share plus accrued and unpaid dividends, if any.  If the merger agreement is terminated for various specified reasons, NNG may redeem the preferred stock in whole, but not in part, at a redemption price equal to the $1.5 billion liquidation preference amount plus any accrued and unpaid dividends.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connection with the subscription agreement, Dynegy entered into an option agreement with a subsidiary of Enron that indirectly owns the common stock of NNG, under which a Dynegy subsidiary has the option to purchase all of the equity of that Enron subsidiary.  The option will become exercisable only upon certain specified terminations of the merger agreement.  The exercise price for the option is $23 million, plus the amount by which NNG’s indebtedness under its bank credit facility and senior notes is less than $950 million (or minus the amount by which such indebtedness exceeds $950 million), subject to adjustment for the amount of working capital at the time of the exercise.  If the option is exercised by Dynegy, Enron will have certain rights to repurchase the ownership of NNG for 90 (or under some scenarios 180) days at a substantially equivalent exercise price adjusted for changes in working capital and debt after the purchase by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Also in connection with the purchase of the NNG preferred stock, Dynegy entered into an exchange agreement with Enron under which each share of the NNG preferred stock may be exchanged for shares of Enron common stock.  Dynegy has the option to cause such an exchange if the merger agreement is terminated in certain circumstances relating to a competing third party acquisition proposal relating to Enron or if Enron’s board of directors withdraws or changes, in a manner adverse to Dynegy, its approval or recommendation of the merger with Dynegy or recommends a competing third party acquisition proposal.  Enron has the option to cause such an exchange if the merger agreement is terminated in certain circumstances relating to a competing third party acquisition proposal relating to Dynegy or if Dynegy’s board of directors withdraws or changes, in a manner adverse to Enron, its approval or recommendation of the merger with Enron or recommends a competing third party acquisition proposal.  If the exchange right is exercised, each share of NNG preferred stock would be exchanged for approximately 169,300 shares of Enron common stock (or approximately 169.3 million shares in the aggregate), subject to adjustment based on changes to the Enron merger exchange ratio pursuant to the merger agreement.  The exchange agreement will terminate if the proposed merger is consummated, the option under the option agreement described above is exercised or the preferred stock is redeemed in accordance with its terms.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exchange agreement further provides that if Dynegy is prevented from receiving Enron common stock under the exchange agreement because the regulatory and other specified conditions for the issuance have not been satisfied, Dynegy will have the right to assign its rights under the exchange agreement to any third party or Enron will issue to Dynegy shares of a new class of Enron preferred stock convertible into an equivalent number of shares of Enron common stock.  If the conditions for Dynegy to receive Enron common stock are not satisfied after twelve months, Dynegy may instead elect to withdraw its exercise of the exchange right and exercise its rights under the option agreement, or receive equivalent consideration from Enron.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Subsequent to the execution of the merger agreement with Dynegy, Kenneth L. Lay, Enron’s Chairman and Chief Executive Officer, waived his right to receive approximately $60.6 million under the change of control terms in his employment contract with Enron, with respect to the merger with Dynegy.</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b/>
        <w:t xml:space="preserve">SEC Investigation.  </w:t>
      </w:r>
      <w:r>
        <w:rPr>
          <w:rFonts w:cs="Courier New" w:ascii="Courier New" w:hAnsi="Courier New"/>
        </w:rPr>
        <w:t>On October 17, 2001, the SEC requested that Enron voluntarily provide information regarding certain related party transactions.  On October 31, 2001, the SEC opened a formal investigation of the matters that were the subject of recent press reports and that were previously the subject of the SEC informal inquiry.  Enron is cooperating fully with the SEC relative to its investigation.  Enron cannot predict the term of the SEC investigation or its potential outcome.</w:t>
      </w:r>
      <w:r>
        <w:rPr>
          <w:rFonts w:cs="Courier New" w:ascii="Courier New" w:hAnsi="Courier New"/>
          <w:b/>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Special Committee.  </w:t>
      </w:r>
      <w:r>
        <w:rPr>
          <w:rFonts w:cs="Courier New" w:ascii="Courier New" w:hAnsi="Courier New"/>
        </w:rPr>
        <w:t>Based on various reports and information concerning Enron’s transactions with certain related parties, on October 31, 2001 the Board of Directors elected William Powers, Dean of the University of Texas School of Law, to the Board, and appointed Dean Powers as Chairman of a newly formed Special Committee.  The Special Committee is responsible for conducting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other members of the Special Committee are independent directors Frank Savage, CEO of Savage Holdings LLC, Paulo Ferraz Pereira, Executive Vice President of investment bank Group Bozano, and Herbert S. Winokur, Jr., Chairman and CEO of Capricorn Holdings, Inc.</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Special Committee has retained the law firm of Wilmer, Cutler &amp; Pickering as its counsel.  The firm’s representation is led by William R. McLucas, former Director of the Division of Enforcement of the SEC.  Wilmer, Cutler has retained Deloitte &amp; Touche LLP to provide related accounting advice to the law firm.  The Special Committee began its review on October 26, 2001.  The review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that review, have not yet been determined.  Accordingly, Enron cannot predict the ultimate results of the Special Committee investigation and the related impact on Enron’s reported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3.</w:t>
        <w:tab/>
        <w:t>RESTATEMENT</w:t>
      </w:r>
    </w:p>
    <w:p>
      <w:pPr>
        <w:pStyle w:val="Normal"/>
        <w:tabs>
          <w:tab w:val="clear" w:pos="720"/>
          <w:tab w:val="left" w:pos="540" w:leader="none"/>
          <w:tab w:val="left" w:pos="1080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s>
        <w:rPr/>
      </w:pPr>
      <w:r>
        <w:rPr/>
        <w:tab/>
      </w:r>
      <w:r>
        <w:rPr>
          <w:rFonts w:cs="Courier New" w:ascii="Courier New" w:hAnsi="Courier New"/>
        </w:rPr>
        <w:t>On November 8, 2001, Enron announced that it will restate its Consolidated Financial Statements for the years 1997 through 2000 and the first and second quarters of 2001 to (1) reflect its conclusion that three previously unconsolidated entities did not meet certain accounting requirements and should have been included in Enron’s consolidated financial statements, (2) reflect an adjustment to shareholders’ equity described below and (3) include prior-year proposed audit adjustments and reclassifications (which were previously determined to be immaterial in the years originally proposed).  Specifically, Enron has concluded that based on a review of related party transactions: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Chewco Investments, L.P. (Chewco), a related party which was an investor in Joint Energy Development Investments Limited Partnership (JEDI), should have been consolidated into Enron’s consolidated financial statements beginning in November 1997;</w:t>
      </w:r>
    </w:p>
    <w:p>
      <w:pPr>
        <w:pStyle w:val="Normal"/>
        <w:ind w:start="90" w:end="0"/>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The financial activities of JEDI, in which Enron was an investor and which were consolidated into Enron’s financial statements beginning in the first quarter of 2001, should have been consolidated beginning in November 1997; and</w:t>
      </w:r>
    </w:p>
    <w:p>
      <w:pPr>
        <w:pStyle w:val="Normal"/>
        <w:rPr>
          <w:rFonts w:ascii="Courier New" w:hAnsi="Courier New" w:cs="Courier New"/>
        </w:rPr>
      </w:pPr>
      <w:r>
        <w:rPr>
          <w:rFonts w:cs="Courier New" w:ascii="Courier New" w:hAnsi="Courier New"/>
        </w:rPr>
      </w:r>
    </w:p>
    <w:p>
      <w:pPr>
        <w:pStyle w:val="Normal"/>
        <w:numPr>
          <w:ilvl w:val="0"/>
          <w:numId w:val="7"/>
        </w:numPr>
        <w:ind w:hanging="270" w:start="720" w:end="0"/>
        <w:rPr>
          <w:rFonts w:ascii="Courier New" w:hAnsi="Courier New" w:cs="Courier New"/>
        </w:rPr>
      </w:pPr>
      <w:r>
        <w:rPr>
          <w:rFonts w:cs="Courier New" w:ascii="Courier New" w:hAnsi="Courier New"/>
        </w:rPr>
        <w:t xml:space="preserve">The financial activities of a wholly-owned subsidiary of LJM Cayman, L.P. (LJM1), a private investment limited partnership for which the general partner’s managing member was Andrew S. Fastow, former Executive Vice President and Chief Financial Officer of Enron (see Note 4), should have been consolidated into Enron’s consolidated financial statements beginning in 1999.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Consolidated Financial Statements included herein reflect such anticipated restatements based on Enron’s current understanding of the relevant facts as of the date of the filing of this report.  It is possible that the Special Committee’s investigation (discussed in Note 2) will identify additional or different information concerning these matters which will require additional or different restatements.  As a result, Enron will not issue amendments to its annual reports on Forms 10-K for the years ended December 31, 1997 through 2000 or its Quarterly Reports on Forms 10-Q for the quarterly periods ended March 31, 2001 and June 30, 2001 to reflect the impacts of the anticipated restatements on Enron’s Consolidated Financial Statements until the Special Committee has completed its investigation.  Additionally, Enron has announced that the previously-issued financial statements for these periods and the audit reports covering the year-end financial statements for 1997 through 2000 should not be relied upon.</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4"/>
          <w:headerReference w:type="first" r:id="rId15"/>
          <w:footerReference w:type="default" r:id="rId16"/>
          <w:footerReference w:type="first" r:id="rId17"/>
          <w:type w:val="nextPage"/>
          <w:pgSz w:w="12240" w:h="15840"/>
          <w:pgMar w:left="1440" w:right="144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effects of the anticipated restatements, based on Enron’s understanding of the relevant facts as of the date of the filing of this report, are outlined below and a description of anticipated the restatements follows the table (dollars in millions, except per share amounts).  Certain amounts in the following table differ from those included in Enron’s November 8, 2001 Form 8-K due to further refinement of the identified restatement items.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(Amounts are subject to change pending the results of the Special Committee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4140" w:leader="none"/>
          <w:tab w:val="center" w:pos="5130" w:leader="none"/>
          <w:tab w:val="center" w:pos="6030" w:leader="none"/>
          <w:tab w:val="center" w:pos="6930" w:leader="none"/>
          <w:tab w:val="center" w:pos="7830" w:leader="none"/>
          <w:tab w:val="center" w:pos="8730" w:leader="none"/>
          <w:tab w:val="center" w:pos="9630" w:leader="none"/>
        </w:tabs>
        <w:rPr/>
      </w:pPr>
      <w:r>
        <w:rPr>
          <w:rFonts w:cs="Courier New" w:ascii="Courier New" w:hAnsi="Courier New"/>
          <w:sz w:val="16"/>
        </w:rPr>
        <w:tab/>
        <w:tab/>
        <w:tab/>
        <w:tab/>
        <w:tab/>
        <w:tab/>
        <w:t>1</w:t>
      </w:r>
      <w:r>
        <w:rPr>
          <w:rFonts w:cs="Courier New" w:ascii="Courier New" w:hAnsi="Courier New"/>
          <w:sz w:val="16"/>
          <w:vertAlign w:val="superscript"/>
        </w:rPr>
        <w:t>st</w:t>
      </w:r>
      <w:r>
        <w:rPr>
          <w:rFonts w:cs="Courier New" w:ascii="Courier New" w:hAnsi="Courier New"/>
          <w:sz w:val="16"/>
        </w:rPr>
        <w:t xml:space="preserve"> Qtr</w:t>
        <w:tab/>
        <w:t>2</w:t>
      </w:r>
      <w:r>
        <w:rPr>
          <w:rFonts w:cs="Courier New" w:ascii="Courier New" w:hAnsi="Courier New"/>
          <w:sz w:val="16"/>
          <w:vertAlign w:val="superscript"/>
        </w:rPr>
        <w:t>nd</w:t>
      </w:r>
      <w:r>
        <w:rPr>
          <w:rFonts w:cs="Courier New" w:ascii="Courier New" w:hAnsi="Courier New"/>
          <w:sz w:val="16"/>
        </w:rPr>
        <w:t xml:space="preserve"> Qtr</w:t>
      </w:r>
    </w:p>
    <w:p>
      <w:pPr>
        <w:pStyle w:val="Footer"/>
        <w:tabs>
          <w:tab w:val="clear" w:pos="4320"/>
          <w:tab w:val="clear" w:pos="8640"/>
          <w:tab w:val="left" w:pos="540" w:leader="none"/>
          <w:tab w:val="left" w:pos="3600" w:leader="none"/>
          <w:tab w:val="center" w:pos="4140" w:leader="none"/>
          <w:tab w:val="center" w:pos="5130" w:leader="none"/>
          <w:tab w:val="center" w:pos="6030" w:leader="none"/>
          <w:tab w:val="center" w:pos="6930" w:leader="none"/>
          <w:tab w:val="center" w:pos="7830" w:leader="none"/>
          <w:tab w:val="center" w:pos="8730" w:leader="none"/>
          <w:tab w:val="center" w:pos="9630" w:leader="none"/>
          <w:tab w:val="left" w:pos="10080" w:leader="none"/>
        </w:tabs>
        <w:rPr/>
      </w:pPr>
      <w:r>
        <w:rPr>
          <w:rFonts w:cs="Courier New" w:ascii="Courier New" w:hAnsi="Courier New"/>
          <w:sz w:val="16"/>
        </w:rPr>
        <w:tab/>
        <w:tab/>
      </w:r>
      <w:r>
        <w:rPr>
          <w:rFonts w:cs="Courier New" w:ascii="Courier New" w:hAnsi="Courier New"/>
          <w:sz w:val="16"/>
          <w:u w:val="single"/>
        </w:rPr>
        <w:tab/>
        <w:t>1997</w:t>
        <w:tab/>
        <w:t>1998</w:t>
        <w:tab/>
        <w:t>1999</w:t>
        <w:tab/>
        <w:t>2000</w:t>
        <w:tab/>
        <w:t>2001</w:t>
        <w:tab/>
        <w:t>2001</w:t>
      </w:r>
    </w:p>
    <w:p>
      <w:pPr>
        <w:pStyle w:val="Footer"/>
        <w:tabs>
          <w:tab w:val="clear" w:pos="4320"/>
          <w:tab w:val="left" w:pos="540" w:leader="none"/>
          <w:tab w:val="center" w:pos="4140" w:leader="none"/>
          <w:tab w:val="center" w:pos="5040" w:leader="none"/>
          <w:tab w:val="center" w:pos="5940" w:leader="none"/>
          <w:tab w:val="center" w:pos="6840" w:leader="none"/>
          <w:tab w:val="center" w:pos="7740" w:leader="none"/>
          <w:tab w:val="center" w:pos="8640" w:leader="none"/>
          <w:tab w:val="center" w:pos="954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Net income as reported</w:t>
        <w:tab/>
        <w:t>$   105(a)</w:t>
        <w:tab/>
        <w:t>$   703</w:t>
        <w:tab/>
        <w:t>$   893</w:t>
        <w:tab/>
        <w:t>$   979</w:t>
        <w:tab/>
        <w:t>$   425</w:t>
        <w:tab/>
        <w:t>$  404</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(42)</w:t>
        <w:tab/>
        <w:t>(133)</w:t>
        <w:tab/>
        <w:t>(153)</w:t>
        <w:tab/>
        <w:t>(91)</w:t>
        <w:tab/>
        <w:t>6</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(95)</w:t>
        <w:tab/>
        <w:t>(8)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540"/>
        <w:rPr/>
      </w:pPr>
      <w:r>
        <w:rPr/>
        <w:tab/>
        <w:t xml:space="preserve"> ments and reclassifications</w:t>
        <w:tab/>
      </w:r>
      <w:r>
        <w:rPr>
          <w:u w:val="single"/>
        </w:rPr>
        <w:t xml:space="preserve">    (51)</w:t>
        <w:tab/>
        <w:t>(6)</w:t>
        <w:tab/>
        <w:t>(10)</w:t>
        <w:tab/>
        <w:t>(38)</w:t>
        <w:tab/>
        <w:t>29</w:t>
        <w:tab/>
        <w:t>5</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caps/>
        </w:rPr>
        <w:t>Net Income Restated</w:t>
      </w:r>
      <w:r>
        <w:rPr/>
        <w:tab/>
      </w:r>
      <w:r>
        <w:rPr>
          <w:u w:val="double"/>
        </w:rPr>
        <w:t>$    12</w:t>
        <w:tab/>
        <w:t>$   564</w:t>
        <w:tab/>
        <w:t>$   635</w:t>
        <w:tab/>
        <w:t>$   842</w:t>
        <w:tab/>
        <w:t>$   460</w:t>
        <w:tab/>
        <w:t>$  409</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Diluted shares outstanding, as</w:t>
      </w:r>
    </w:p>
    <w:p>
      <w:pPr>
        <w:pStyle w:val="BodyText3"/>
        <w:tabs>
          <w:tab w:val="left" w:pos="360" w:leader="none"/>
          <w:tab w:val="decimal" w:pos="4140" w:leader="none"/>
          <w:tab w:val="decimal" w:pos="5220" w:leader="none"/>
          <w:tab w:val="decimal" w:pos="6120" w:leader="none"/>
          <w:tab w:val="decimal" w:pos="7020" w:leader="none"/>
          <w:tab w:val="decimal" w:pos="7920" w:leader="none"/>
          <w:tab w:val="decimal" w:pos="8820" w:leader="none"/>
          <w:tab w:val="decimal" w:pos="9900" w:leader="none"/>
        </w:tabs>
        <w:rPr/>
      </w:pPr>
      <w:r>
        <w:rPr>
          <w:rFonts w:eastAsia="Courier New"/>
        </w:rPr>
        <w:t xml:space="preserve"> </w:t>
      </w:r>
      <w:r>
        <w:rPr/>
        <w:t>reported</w:t>
        <w:tab/>
        <w:t>590.7</w:t>
        <w:tab/>
        <w:t>695.3</w:t>
        <w:tab/>
        <w:t>768.4</w:t>
        <w:tab/>
        <w:t>813.9</w:t>
        <w:tab/>
        <w:t>871.6</w:t>
        <w:tab/>
        <w:t>891.1</w:t>
      </w:r>
    </w:p>
    <w:p>
      <w:pPr>
        <w:pStyle w:val="BodyText3"/>
        <w:tabs>
          <w:tab w:val="left" w:pos="360" w:leader="none"/>
          <w:tab w:val="decimal" w:pos="4140" w:leader="none"/>
          <w:tab w:val="decimal" w:pos="5220" w:leader="none"/>
          <w:tab w:val="decimal" w:pos="6120" w:leader="none"/>
          <w:tab w:val="decimal" w:pos="7020" w:leader="none"/>
          <w:tab w:val="decimal" w:pos="7920" w:leader="none"/>
          <w:tab w:val="decimal" w:pos="8820" w:leader="none"/>
          <w:tab w:val="decimal" w:pos="9900" w:leader="none"/>
        </w:tabs>
        <w:rPr/>
      </w:pPr>
      <w:r>
        <w:rPr/>
        <w:t>DILUTED SHARES RESTATED</w:t>
        <w:tab/>
        <w:t>589.9</w:t>
        <w:tab/>
        <w:t>686.1</w:t>
        <w:tab/>
        <w:t>754.7</w:t>
        <w:tab/>
        <w:t>801.0</w:t>
        <w:tab/>
        <w:t>862.0</w:t>
        <w:tab/>
        <w:t>891.1</w:t>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as reported</w:t>
        <w:tab/>
        <w:t>0.16</w:t>
        <w:tab/>
        <w:t>1.01</w:t>
        <w:tab/>
        <w:t>1.10</w:t>
        <w:tab/>
        <w:t>1.12</w:t>
        <w:tab/>
        <w:t>0.49</w:t>
        <w:tab/>
        <w:t>0.45</w:t>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RESTATED</w:t>
        <w:tab/>
        <w:t>0.03</w:t>
        <w:tab/>
        <w:t>0.82</w:t>
        <w:tab/>
        <w:t>0.78</w:t>
        <w:tab/>
        <w:t>0.98</w:t>
        <w:tab/>
        <w:t>0.52</w:t>
        <w:tab/>
        <w:t>0.46</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Total assets as reported</w:t>
        <w:tab/>
        <w:t>$22,552</w:t>
        <w:tab/>
        <w:t>$29,350</w:t>
        <w:tab/>
        <w:t>$33,381</w:t>
        <w:tab/>
        <w:t>$65,503</w:t>
        <w:tab/>
        <w:t>$67,260</w:t>
        <w:tab/>
        <w:t>$63,392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451</w:t>
        <w:tab/>
        <w:t>160</w:t>
        <w:tab/>
        <w:t>181</w:t>
        <w:tab/>
        <w:t>(161)</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(222)</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(79)</w:t>
        <w:tab/>
        <w:t>(68)</w:t>
        <w:tab/>
        <w:t>(68)</w:t>
        <w:tab/>
        <w:t>(244)</w:t>
        <w:tab/>
        <w:t>(1,087)</w:t>
        <w:tab/>
        <w:t>431</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TOTAL ASSETS RESTATED</w:t>
        <w:tab/>
      </w:r>
      <w:r>
        <w:rPr>
          <w:u w:val="double"/>
        </w:rPr>
        <w:t>$22,924</w:t>
        <w:tab/>
        <w:t>$29,442</w:t>
        <w:tab/>
        <w:t>$33,272</w:t>
        <w:tab/>
        <w:t>$64,926</w:t>
        <w:tab/>
        <w:t>$65,173</w:t>
        <w:tab/>
        <w:t>$62,823</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Debt as reported</w:t>
        <w:tab/>
        <w:t>$ 6,254</w:t>
        <w:tab/>
        <w:t>$ 7,357</w:t>
        <w:tab/>
        <w:t>$ 8,152</w:t>
        <w:tab/>
        <w:t>$10,229</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711</w:t>
        <w:tab/>
        <w:t>561</w:t>
        <w:tab/>
        <w:t>685</w:t>
        <w:tab/>
        <w:t>628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DEBT RESTATED</w:t>
        <w:tab/>
      </w:r>
      <w:r>
        <w:rPr>
          <w:u w:val="double"/>
        </w:rPr>
        <w:t>$ 6,965</w:t>
        <w:tab/>
        <w:t>$ 7,918</w:t>
        <w:tab/>
        <w:t>$ 8,837</w:t>
        <w:tab/>
        <w:t>$10,857</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Equity as reported</w:t>
        <w:tab/>
        <w:t>$ 5,618</w:t>
        <w:tab/>
        <w:t>$ 7,048</w:t>
        <w:tab/>
        <w:t>$ 9,570</w:t>
        <w:tab/>
        <w:t>$11,470</w:t>
        <w:tab/>
        <w:t>$11,727</w:t>
        <w:tab/>
        <w:t>$11,740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(258)</w:t>
        <w:tab/>
        <w:t>(391)</w:t>
        <w:tab/>
        <w:t>(544)</w:t>
        <w:tab/>
        <w:t>(814)</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(166)</w:t>
        <w:tab/>
        <w:t>60</w:t>
        <w:tab/>
        <w:t>60</w:t>
        <w:tab/>
        <w:t>60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year proposed audit adjust-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ments and reclassifications</w:t>
        <w:tab/>
      </w:r>
      <w:r>
        <w:rPr>
          <w:u w:val="single"/>
        </w:rPr>
        <w:t xml:space="preserve">    (51)</w:t>
        <w:tab/>
        <w:t>(57)</w:t>
        <w:tab/>
        <w:t>(136)</w:t>
        <w:tab/>
        <w:t>(255)</w:t>
        <w:tab/>
        <w:t>(287)</w:t>
        <w:tab/>
        <w:t>(19</w:t>
      </w:r>
      <w:r>
        <w:rPr/>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EQUITY RESTATED</w:t>
        <w:tab/>
      </w:r>
      <w:r>
        <w:rPr>
          <w:u w:val="double"/>
        </w:rPr>
        <w:t>$ 5,309</w:t>
        <w:tab/>
        <w:t>$ 6,600</w:t>
        <w:tab/>
        <w:t>$ 8,724</w:t>
        <w:tab/>
        <w:t>$10,289</w:t>
        <w:tab/>
        <w:t>$10,500</w:t>
        <w:tab/>
        <w:t>$10,781</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(a)</w:t>
        <w:tab/>
        <w:t>After effect of significant contract restructuring charge totaling $463 million (after tax).</w:t>
      </w:r>
    </w:p>
    <w:p>
      <w:pPr>
        <w:sectPr>
          <w:headerReference w:type="default" r:id="rId18"/>
          <w:headerReference w:type="first" r:id="rId19"/>
          <w:footerReference w:type="default" r:id="rId20"/>
          <w:footerReference w:type="first" r:id="rId21"/>
          <w:type w:val="nextPage"/>
          <w:pgSz w:w="12240" w:h="15840"/>
          <w:pgMar w:left="1440" w:right="720" w:gutter="0" w:header="720" w:top="776" w:footer="720" w:bottom="776"/>
          <w:pgNumType w:fmt="decimal"/>
          <w:formProt w:val="false"/>
          <w:textDirection w:val="lrTb"/>
          <w:docGrid w:type="default" w:linePitch="360" w:charSpace="0"/>
        </w:sect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Heading1"/>
        <w:tabs>
          <w:tab w:val="clear" w:pos="720"/>
          <w:tab w:val="left" w:pos="540" w:leader="none"/>
          <w:tab w:val="left" w:pos="10800" w:leader="none"/>
        </w:tabs>
        <w:ind w:hanging="0" w:start="0"/>
        <w:rPr/>
      </w:pPr>
      <w:r>
        <w:rPr/>
        <w:t>Description of Restatement Items</w:t>
      </w:r>
    </w:p>
    <w:p>
      <w:pPr>
        <w:pStyle w:val="Normal"/>
        <w:tabs>
          <w:tab w:val="clear" w:pos="720"/>
          <w:tab w:val="left" w:pos="540" w:leader="none"/>
          <w:tab w:val="left" w:pos="10800" w:leader="none"/>
        </w:tabs>
        <w:rPr/>
      </w:pPr>
      <w:r>
        <w:rPr>
          <w:rFonts w:cs="Courier New" w:ascii="Courier New" w:hAnsi="Courier New"/>
          <w:b/>
        </w:rPr>
        <w:tab/>
      </w:r>
      <w:r>
        <w:rPr>
          <w:rFonts w:cs="Courier New" w:ascii="Courier New" w:hAnsi="Courier New"/>
          <w:i/>
        </w:rPr>
        <w:t>Chewco and JEDI Consolidation.</w:t>
      </w:r>
      <w:r>
        <w:rPr>
          <w:rFonts w:cs="Courier New" w:ascii="Courier New" w:hAnsi="Courier New"/>
        </w:rPr>
        <w:t xml:space="preserve">  Enron’s decision that Chewco should be consolidated beginning in November 1997 is based on recently obtained information that Chewco did not meet the accounting criteria to qualify as an adequately capitalized unconsolidated special purpose entity (SPE).  See Note 4 for a discussion of Chewco and a description of an SPE.  As a result of Chewco’s failure to meet these criteria, JEDI, in which Chewco was a limited partner, also did not qualify for nonconsolidation treatment.  When the consolidation of these two entities are taken into account, Enron’s prior-year reported debt amounts are increased by both JEDI’s and Chewco’s borrowings.  In addition, Enron’s net income is reduced for specific JEDI revenues previously allocated to Chewco, relating to the appreciation in value of Enron stock held by JEDI, which eliminates upon consolidation. This, in effect, reduces Enron’s share of JEDI’s earnings.  The net effect reduces Enron’s prior-years’ reported net income and shareholders’ equity amounts.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LJM1 Subsidiary Consolidation.</w:t>
      </w:r>
      <w:r>
        <w:rPr>
          <w:rFonts w:cs="Courier New" w:ascii="Courier New" w:hAnsi="Courier New"/>
        </w:rPr>
        <w:t xml:space="preserve">  Enron’s decision that the LJM1 subsidiary should be consolidated in 1999 and 2000 is based on Enron’s current assessment that the subsidiary did not qualify for nonconsolidation treatment because of inadequate capitalization.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1999, Enron entered into a series of transactions involving a third party and LJM1. The effect of the transactions was (i) Enron and the third party amended certain forward contracts to purchase shares of Enron common stock, resulting in Enron having forward contracts to purchase Enron common shares at the market price on that day, (ii) LJM1 received 6.8 million shares of Enron common stock subject to certain restrictions, 3.1 million shares of which it contributed to the LJM1 subsidiary and (iii) Enron received a note receivable, which was repaid in December 1999, and certain financial instruments hedging Enron’s investment in the stock of Rhythms NetConnections, Inc.  Enron recorded the assets received and equity issued at estimated fair value.  In connection with the transactions, LJM1 agreed that Mr. Fastow would have no pecuniary interest in such Enron common shares and would be restricted from voting on matters related to such shares. In March 2000, Enron and LJM1 entered into an agreement to terminate the financial instruments.  In connection with this agreement, Enron received the 3.1 million shares of Enron common stock held by the LJM1 subsidiary.  A put option, which was originally entered into in the first quarter of 2000 and gave LJM1 the right to sell shares of Enron common stock to Enron at a strike price of $71.31 per share, was terminated under this agreement.  In return, Enron paid approximately $26.8 million to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Consolidation of the LJM1 subsidiary has the effect of eliminating the income recognized by Enron on derivative transactions with this LJM subsidiary, thus reducing Enron’s net income in 1999 and 2000. Shareholders’ equity has been reduced in 1999 and increased in 2000 to reflect the elimination of Enron common stock contributed by LJM1 to the LJM1 subsidiary.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Shareholders’ Equity Reduction.</w:t>
      </w:r>
      <w:r>
        <w:rPr>
          <w:rFonts w:cs="Courier New" w:ascii="Courier New" w:hAnsi="Courier New"/>
        </w:rPr>
        <w:t xml:space="preserve">  Enron’s previously-announced $1.2 billion reduction of shareholders’ equity primarily involves the correction of an accounting error made in the second quarter of 2000 and in the first quarter of 2001.  As described in more detail below and in Note 4, four SPEs known as Raptor I-IV (collectively, Raptor) were created in 2000 to permit Enron to hedge market risk in certain of its investments. (LJM2 Co-Investment, L.P. (LJM2), a private investment limited partnership for which the general partner’s managing member was Mr. Fastow, invested in these entities, but the related-party nature of the transaction is not relevant to the accounting correction.)  As part of the capitalization of these entities, Enron issued common stock in exchange for a note receivable. Enron increased notes receivable and shareholders’ equity to reflect this transaction.  Enron now believes that, under generally accepted accounting principles, the note receivable should have been presented as a reduction to shareholders’ equity (similar to a shareholder loan).  This treatment would have resulted in no net increase to shareholders’ equity.  The net effect of this initial accounting entry was to overstate both notes receivable and shareholders’ equity by approximately $172 million (which represented less than 2% of shareholders’ equity at the time) in each of the second quarter, third quarter and year-end financial statements of Enron for the year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first quarter of 2001, Enron entered into a series of transactions with Raptor that could have obligated Enron to issue Enron common stock in the future in exchange for notes receivable.  Enron accounted for these transactions using the accounting treatment described in the preceding paragraph.  This resulted in an additional overstatement of both notes receivable and shareholders’ equity by $828 million.  As a result of these errors, shareholders’ equity and notes receivable were overstated by a total of $1 billion in the unaudited balance sheets of Enron at March 31, 2001 and June 30,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third quarter of 2001, as a result of deterioration in the credit quality of the Raptor SPEs caused by the decline in Enron and New Power Holdings, Inc.’s (NPW) stock price, the increase in Raptor’s exposure under derivative contracts with Enron and the increasing dilutive effect on Enron’s earnings per share calculation, Enron acquired LJM2’s equity in the SPEs for $35 million and terminated the entities.  Consistent with the original treatment, Enron accounted for this transaction as a reduction to Enron shareholders’ equity and notes receivable by $1.2 billion.  Of this amount, $270 million related to the excess of the fair value of contracts to deliver Enron shares over the notes receivable.  Subsequent to the restatement discussed above, the impact of this transaction on the September 30, 2001 Consolidated Financial Statements is limited to a reduction of note receivable and shareholders’ equity of $270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Audit Adjustments.</w:t>
      </w:r>
      <w:r>
        <w:rPr>
          <w:rFonts w:cs="Courier New" w:ascii="Courier New" w:hAnsi="Courier New"/>
        </w:rPr>
        <w:t xml:space="preserve">  The restatements include prior-year proposed audit adjustments and reclassifications which were determined to be immaterial in the periods originally proposed.</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 w:val="left" w:pos="10800" w:leader="none"/>
        </w:tabs>
        <w:rPr>
          <w:rFonts w:ascii="Courier New" w:hAnsi="Courier New" w:cs="Courier New"/>
          <w:b/>
        </w:rPr>
      </w:pPr>
      <w:r>
        <w:rPr>
          <w:rFonts w:cs="Courier New" w:ascii="Courier New" w:hAnsi="Courier New"/>
          <w:b/>
        </w:rPr>
        <w:t>4.</w:t>
        <w:tab/>
        <w:t>RELATED PARTY TRANSACTIONS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On November 8, 2001, Enron released information in a Form 8-K regarding the two LJM limited partnerships formed by Enron’s former chief financial officer, his role in the partnerships, the business relationships and transactions between Enron and the partnerships, and the economic results of those transactions as known thus far, and transactions between Enron and certain other Enron employees.  Following is the information that was provided.</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The LJM Limited Partnerships and Transactions with Enron.</w:t>
      </w:r>
      <w:r>
        <w:rPr>
          <w:rFonts w:cs="Courier New" w:ascii="Courier New" w:hAnsi="Courier New"/>
        </w:rPr>
        <w:t xml:space="preserve">  LJM1 and LJM2 (collectively, LJM) are private investment limited partnerships that were formed in 1999.  Andrew S. Fastow was (from inception through July 2001) the managing member of the general partners of LJM1 and LJM2. Enron believes that the LJM partnerships have as limited partners a significant number of institutions and other investors that are not related parties to Enron.  These partnerships are a subject of the Special Committee’s investigation and it is possible that this investigation will identify additional or different information concerning matters described herein.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Enron, like many other companies, utilizes a variety of structured financings in the ordinary course of its business to access capital or hedge risk.  Many of these transactions involve "special purpose entities," or "SPEs."  Accounting guidelines allow for the non-consolidation of SPEs with the sponsoring company’s financial statements in certain circumstances.  Accordingly, certain transactions between the sponsoring company and the SPE may result in gain or loss and/or cash flow being recognized by the sponsor, commonly referred to by financial institutions as "monetizations."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The LJM Partnerships.</w:t>
      </w:r>
      <w:r>
        <w:rPr>
          <w:rFonts w:cs="Courier New" w:ascii="Courier New" w:hAnsi="Courier New"/>
        </w:rPr>
        <w:t xml:space="preserve">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earned in excess of $30 million relating to his LJM management and investment activities.  Enron believes that the initial capital commitments of all partners to LJM1 were $16 million, and aggregate capital commitments of all partners to LJM2 were $394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LJM1 and LJM2 were described to the Enron Board of Directors as potential sources of capital to buy assets from Enron, potential equity partners for Enron investments and counterparties to help mitigate risks associated with Enron investments.  The Board also was informed that LJM1 and LJM2 intended to transact business with third parties.  Prior to approving Mr. Fastow’s affiliation with LJM1 and LJM2, the Board determined that Mr. Fastow’s participation in the partnerships would not adversely affect the interests of Enron.  The Board approved the initial transaction with LJM1 and recognized that Enron could (but was not required to) engage in additional transactions with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Board directed that certain controls be put into place relating to Mr. Fastow’s involvement with the partnerships and transactions between Enron and the partnerships.  The Board required review and approval of each transaction by the Office of the Chairman, the Chief Accounting Officer and the Chief Risk Officer.  The Board also recognized the ability of the Chairman of the Board to require Mr. Fastow to resign from the partnerships at any time and directed that the Audit and Compliance Committee conduct annual reviews of transactions between Enron and LJM1 and LJM2 completed during the prior year.  Whether these controls and procedures were properly implemented is a subject of the Special Committee’s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as of July 31, 2001, Mr. Fastow sold his interests in LJM1 and LJM2 to Michael J. Kopper, and that Mr. Fastow ceased to be the managing member of LJM’s general partners.  Prior to that time, Mr. Kopper reported to Mr. Fastow as a non-executive officer of an Enron division.  Mr. Kopper resigned from Enron immediately before Enron believes he purchased Mr. Fastow’s interests in LJM.  Mr. Fastow is no longer working for Enron.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i/>
        </w:rPr>
        <w:tab/>
        <w:t>General Summary of LJM Transactions</w:t>
      </w:r>
      <w:r>
        <w:rPr>
          <w:rFonts w:cs="Courier New" w:ascii="Courier New" w:hAnsi="Courier New"/>
        </w:rPr>
        <w:t>.  From June 1999 through September 2001, Enron and Enron-related entities entered into 24 business relationships in which LJM1 or LJM2 participated.  These relationships were of several general types, including: (1) sales of assets by Enron to LJM2 and by LJM2 to Enron; (2) purchases of debt or equity interests by LJM1 or LJM2 in Enron-sponsored SPEs; (3) purchases of debt or equity interests by LJM1 or LJM2 in Enron affiliates or other entities in which Enron was an investor; (4) purchases of equity investments by LJM1 or LJM2 in SPEs designed to mitigate market risk in Enron’s investments; (5) the sale of a call option and a put option by LJM2 on physical assets; and (6) a subordinated loan to LJM2 from an Enron affiliate.  The financial results of these transactions are summarized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 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Normal"/>
        <w:tabs>
          <w:tab w:val="clear" w:pos="720"/>
          <w:tab w:val="left" w:pos="36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640" w:leader="none"/>
        </w:tabs>
        <w:rPr>
          <w:rFonts w:ascii="Courier New" w:hAnsi="Courier New" w:cs="Courier New"/>
          <w:sz w:val="16"/>
        </w:rPr>
      </w:pPr>
      <w:r>
        <w:rPr>
          <w:rFonts w:cs="Courier New" w:ascii="Courier New" w:hAnsi="Courier New"/>
          <w:sz w:val="16"/>
        </w:rPr>
        <w:t>Sales of Assets</w:t>
        <w:tab/>
        <w:t>$    -</w:t>
        <w:tab/>
        <w:t>$    -</w:t>
        <w:tab/>
        <w:t>$    -</w:t>
        <w:tab/>
        <w:t>$   0.7</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w:t>
        <w:tab/>
        <w:t>52.5</w:t>
        <w:tab/>
        <w:t>52.5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3.4</w:t>
        <w:tab/>
        <w:t>17.8</w:t>
        <w:tab/>
        <w:t>14.4</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680" w:leader="none"/>
          <w:tab w:val="decimal" w:pos="5940" w:leader="none"/>
          <w:tab w:val="decimal" w:pos="7380" w:leader="none"/>
          <w:tab w:val="decimal" w:pos="8640" w:leader="none"/>
        </w:tabs>
        <w:rPr/>
      </w:pPr>
      <w:r>
        <w:rPr/>
        <w:t>Portfolio Special Purpose Entities</w:t>
        <w:tab/>
        <w:t>-</w:t>
        <w:tab/>
        <w:t>75.5</w:t>
        <w:tab/>
        <w:t>75.5</w:t>
        <w:tab/>
        <w:t>(166.2)(a)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cs="Courier New" w:ascii="Courier New" w:hAnsi="Courier New"/>
          <w:sz w:val="16"/>
        </w:rPr>
        <w:tab/>
        <w:t>Total</w:t>
        <w:tab/>
      </w:r>
      <w:r>
        <w:rPr>
          <w:rFonts w:cs="Courier New" w:ascii="Courier New" w:hAnsi="Courier New"/>
          <w:sz w:val="16"/>
          <w:u w:val="double"/>
        </w:rPr>
        <w:t>$  3.4</w:t>
        <w:tab/>
        <w:t>$145.8</w:t>
        <w:tab/>
        <w:t>$142.4</w:t>
        <w:tab/>
        <w:t>$(165.5</w:t>
      </w:r>
      <w:r>
        <w:rPr>
          <w:rFonts w:cs="Courier New" w:ascii="Courier New" w:hAnsi="Courier New"/>
          <w:sz w:val="16"/>
        </w:rPr>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612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w:t>
        <w:tab/>
        <w:t>$(30.0)</w:t>
        <w:tab/>
        <w:t>$  67.0</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83.3</w:t>
        <w:tab/>
        <w:t>63.0</w:t>
        <w:tab/>
        <w:t>(20.3)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64.3</w:t>
        <w:tab/>
        <w:t>48.9</w:t>
        <w:tab/>
        <w:t>(15.4)</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Portfolio Special Purpose Entities</w:t>
        <w:tab/>
        <w:t>127.1</w:t>
        <w:tab/>
        <w:t>109.0</w:t>
        <w:tab/>
        <w:t>(18.1)</w:t>
        <w:tab/>
        <w:t>48.6</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8.2</w:t>
        <w:tab/>
        <w:t>0.9</w:t>
        <w:tab/>
        <w:t>(7.3)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$320.4</w:t>
        <w:tab/>
        <w:t>$233.5</w:t>
        <w:tab/>
        <w:t>$(86.9)</w:t>
        <w:tab/>
        <w:t>$ 115.6</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r>
    </w:p>
    <w:p>
      <w:pPr>
        <w:pStyle w:val="Footer"/>
        <w:tabs>
          <w:tab w:val="left" w:pos="360" w:leader="none"/>
          <w:tab w:val="center" w:pos="4320" w:leader="none"/>
          <w:tab w:val="center" w:pos="5760" w:leader="none"/>
          <w:tab w:val="center" w:pos="7200" w:leader="none"/>
          <w:tab w:val="center" w:pos="8640" w:leader="none"/>
        </w:tabs>
        <w:rPr>
          <w:rFonts w:ascii="Courier New" w:hAnsi="Courier New" w:cs="Courier New"/>
        </w:rPr>
      </w:pPr>
      <w:r>
        <w:rPr>
          <w:rFonts w:cs="Courier New" w:ascii="Courier New" w:hAnsi="Courier New"/>
        </w:rPr>
        <w:tab/>
        <w:tab/>
        <w:tab/>
        <w:tab/>
        <w:tab/>
      </w:r>
      <w:r>
        <w:rPr>
          <w:rFonts w:cs="Courier New" w:ascii="Courier New" w:hAnsi="Courier New"/>
          <w:sz w:val="16"/>
        </w:rPr>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BodyText3"/>
        <w:tabs>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$ 32.4</w:t>
        <w:tab/>
        <w:t>$  2.4</w:t>
        <w:tab/>
        <w:t>$  86.6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100.7</w:t>
        <w:tab/>
        <w:t>64.4</w:t>
        <w:tab/>
        <w:t>(36.3)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Portfolio Special Purpose Entities</w:t>
        <w:tab/>
        <w:t>127.1</w:t>
        <w:tab/>
        <w:t>148.5</w:t>
        <w:tab/>
        <w:t>21.4</w:t>
        <w:tab/>
        <w:t>532.0(a)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11.3</w:t>
        <w:tab/>
        <w:t>12.5</w:t>
        <w:tab/>
        <w:t>1.2</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40.3</w:t>
        <w:tab/>
        <w:t>-</w:t>
        <w:tab/>
        <w:t>(40.3)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$383.4</w:t>
        <w:tab/>
        <w:t>$320.7</w:t>
        <w:tab/>
        <w:t>$(62.7)</w:t>
        <w:tab/>
        <w:t>$ 618.6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1999</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Sales of Assets</w:t>
        <w:tab/>
        <w:t>$    -</w:t>
        <w:tab/>
        <w:t>$    -</w:t>
        <w:tab/>
        <w:t>$    -</w:t>
        <w:tab/>
        <w:t>$     -</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Purchases of Equity/Debt in Enron-</w:t>
      </w:r>
    </w:p>
    <w:p>
      <w:pPr>
        <w:pStyle w:val="BodyText3"/>
        <w:tabs>
          <w:tab w:val="left" w:pos="360" w:leader="none"/>
          <w:tab w:val="decimal" w:pos="4500" w:leader="none"/>
          <w:tab w:val="decimal" w:pos="5940" w:leader="none"/>
          <w:tab w:val="decimal" w:pos="7380" w:leader="none"/>
          <w:tab w:val="decimal" w:pos="8640" w:leader="none"/>
        </w:tabs>
        <w:rPr/>
      </w:pPr>
      <w:r>
        <w:rPr>
          <w:rFonts w:eastAsia="Courier New"/>
        </w:rPr>
        <w:t xml:space="preserve"> </w:t>
      </w:r>
      <w:r>
        <w:rPr/>
        <w:t>Sponsored Special Purpose Entities</w:t>
        <w:tab/>
        <w:t>73.8</w:t>
        <w:tab/>
        <w:t>15.4</w:t>
        <w:tab/>
        <w:t>(58.4)</w:t>
        <w:tab/>
        <w:t>2.4</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640" w:leader="none"/>
        </w:tabs>
        <w:rPr/>
      </w:pPr>
      <w:r>
        <w:rPr/>
        <w:t>Investments in Enron Affiliates</w:t>
        <w:tab/>
        <w:t>44.5</w:t>
        <w:tab/>
        <w:t>1.0</w:t>
        <w:tab/>
        <w:t>(43.5)</w:t>
        <w:tab/>
        <w:t>16.9</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820" w:leader="none"/>
        </w:tabs>
        <w:rPr/>
      </w:pPr>
      <w:r>
        <w:rPr/>
        <w:t>Portfolio Special Purpose Entities</w:t>
        <w:tab/>
        <w:t>64.0</w:t>
        <w:tab/>
        <w:t>95.2(c)</w:t>
        <w:tab/>
        <w:t>31.2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38.5</w:t>
        <w:tab/>
        <w:t>38.5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$182.3</w:t>
        <w:tab/>
        <w:t>$150.1</w:t>
        <w:tab/>
        <w:t>$(32.2)</w:t>
        <w:tab/>
        <w:t>$  19.3</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Estimated Fair Value of Existing</w:t>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eastAsia="Courier New" w:cs="Courier New" w:ascii="Courier New" w:hAnsi="Courier New"/>
          <w:sz w:val="16"/>
        </w:rPr>
        <w:t xml:space="preserve"> </w:t>
      </w:r>
      <w:r>
        <w:rPr>
          <w:rFonts w:cs="Courier New" w:ascii="Courier New" w:hAnsi="Courier New"/>
          <w:sz w:val="16"/>
        </w:rPr>
        <w:t>LJM Investments</w:t>
        <w:tab/>
        <w:tab/>
        <w:tab/>
      </w:r>
      <w:r>
        <w:rPr>
          <w:rFonts w:cs="Courier New" w:ascii="Courier New" w:hAnsi="Courier New"/>
          <w:sz w:val="16"/>
          <w:u w:val="double"/>
        </w:rPr>
        <w:t>$ 43.6</w:t>
      </w:r>
      <w:r>
        <w:rPr>
          <w:rFonts w:cs="Courier New" w:ascii="Courier New" w:hAnsi="Courier New"/>
          <w:sz w:val="16"/>
        </w:rPr>
        <w:t>(d)</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Enron’s pre-tax earnings impact of transactions with LJM2 through the Raptor SPEs was approximately $532 million in 2000 and $545 million for the nine months ended September 30, 2001, excluding the pre-tax charge described below.  During 2000 and the nine months ended September 30, 2001, the Raptor SPEs hedged losses related to Enron investments of $501 million and $453 million, respectively.  The 2001 pre-tax earnings amount includes a $711 million pre-tax charge in the quarter ended September 30, 2001 related to the termination of the Raptor SPEs.</w:t>
      </w:r>
    </w:p>
    <w:p>
      <w:pPr>
        <w:pStyle w:val="BodyTextIndent2"/>
        <w:rPr/>
      </w:pPr>
      <w:r>
        <w:rPr/>
        <w:t>(b)</w:t>
        <w:tab/>
        <w:t>This amount excludes a seller financed note from Enron to LJM of approximately $70 million.</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 xml:space="preserve">This amount represents Enron’s estimate of the value received in Enron common stock, a portion of which was restricted.  The estimate was based on a 36% discount off the market price on the date of issuance for shares that were restricted and estimated proceeds received by LJM from the sale of the unrestricted shares. </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(d)</w:t>
        <w:tab/>
        <w:t>This amount represents Enron's estimated fair value of the six investments made by LJM that remained outstanding as of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pPr>
      <w:r>
        <w:rPr>
          <w:rFonts w:cs="Courier New" w:ascii="Courier New" w:hAnsi="Courier New"/>
          <w:i/>
        </w:rPr>
        <w:tab/>
        <w:t>Sales of Assets.</w:t>
      </w:r>
      <w:r>
        <w:rPr>
          <w:rFonts w:cs="Courier New" w:ascii="Courier New" w:hAnsi="Courier New"/>
        </w:rPr>
        <w:t xml:space="preserve">  In June 2000, LJM2 purchased dark fiber optic cable from Enron for a purchase price of $100 million. LJM2 paid Enron $30 million in cash and the balance in an interest-bearing note for $70 million.  Enron recognized $68 million in pre-tax earnings in 2000 related to the asset sale.  Pursuant to a marketing agreement with LJM2, Enron was compensated for marketing the fiber to others and providing operation and maintenance services to LJM2 with respect to the fiber.  This arrangement gave Enron profit potential in proceeds received after LJM2 achieved a specified return level.  LJM2 sold a portion of the fiber to industry participants for $40 million, which resulted in Enron recognizing agency fee revenue of $20 million.  LJM2 sold the remaining dark fiber for $113 million in December 2000 to an SPE that was formed to acquire the fiber.  In December 2000, LJM2 used a portion of the proceeds to pay in full the note and accrued interest owed to Enron.  At the time of LJM2’s sale of the fiber to the SPE, Enron entered into a derivative contract which served as credit support for the benefit of some of the debt holders of a third-party investor in the SPE.  This credit support provided the lender with a specified rate of return.  As a result, Enron’s credit exposure under the $70 million note was replaced with $61 million in remaining exposure under the derivative contract.  LJM2 earned $2.4 million on its resale of the fiber.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Purchases of Equity/Debt in Enron-Sponsored SPEs.</w:t>
      </w:r>
      <w:r>
        <w:rPr>
          <w:rFonts w:cs="Courier New" w:ascii="Courier New" w:hAnsi="Courier New"/>
        </w:rPr>
        <w:t xml:space="preserve">  Between September 1999 and December 2000, LJM1 or LJM2 purchased equity or debt interests in nine Enron-sponsored SPEs.  LJM1 and LJM2 invested $175 million in the nine SPEs.  These transactions enabled Enron to monetize assets and generated pre-tax earnings to Enron of $2 million in 1999.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LJM received cash of $15 million, $64 million and $53 million in 1999, 2000 and 2001, respectively, relating to its investments in these entities.  In three instances, third-party financial institutions also invested in the entities.  LJM invested on the same terms as the third-party investors.  In one of these nine transactions, Enron entered into a marketing agreement with LJM2 that provided Enron with the right to market the underlying equity.  This arrangement gave Enron profit potential in proceeds received after LJM2 achieved a specified return level.  In six of these nine transactions, Enron repurchased all or a portion of the equity and debt initially purchased by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SPEs owned, directly or indirectly, a variety of operating and financial assets.  For example, Yosemite Securities Trust was a finance entity which facilitated Enron’s ability to raise funds in the capital markets through the use of credit-linked notes, a standard financing arrangement offered by investment banks.  Osprey Trust is beneficially-owned by a number of financial institutions and is a limited partner in Whitewing Associates, L.P., an Enron unconsolidated affiliate (Whitewing) (see Note 8).  Enron is the other partner.  Whitewing purchased certain Enron investments for future sale.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addition, as a result of these transactions, Enron was able to monetize equity interests with investment banks.  These monetizations resulted in Enron’s recognizing $146 million and $5 million in pre-tax earnings in 2000 and the nine months ended 2001, respectively, and $252 million in cash inflows, all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Investment in Enron Affiliates.</w:t>
      </w:r>
      <w:r>
        <w:rPr>
          <w:rFonts w:cs="Courier New" w:ascii="Courier New" w:hAnsi="Courier New"/>
        </w:rPr>
        <w:t xml:space="preserve">  In two transactions, LJM2 made direct and indirect investments in stock (and warrants convertible into stock) of NPW.  NPW initially was a wholly-owned subsidiary of Enron, subsequently included other strategic and financial investors, and in October 2000 became a public company.  NPW is engaged in the retail marketing and sale of natural gas, electricity and other commodities, products and services to residential and small commercial customers in the United States.  In January 2000, LJM2 invested $673,000 in Cortez Energy Services LLC (Cortez), a limited liability company formed by Enron and LJM2, and Enron contributed five million shares of NPW stock to Cortez.  In July 2000, in a private placement, LJM2 purchased warrants exercisable for NPW stock for $50 million on the same terms as third-party investors.  Enron believes that LJM2 still owns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September 1999, LJM1 acquired from Enron a 13% equity interest in a company owning a power project in Brazil for $10.8 million, and acquired redeemable preference shares in a related company for $500,000.  Enron recognized a $1.7 million loss on the sale of these interests to LJM1. Enron recognized revenues of $65 million, $14 million and $5 million from a commodity contract with the company owning the power project in 1999, 2000 and 2001, respectively.  As part of an exclusive marketing arrangement to sell LJM1’s equity in the project to third parties and to limit LJM1’s return, Enron paid LJM1 a $240,000 fee in May 2000.  In 2001, Enron repurchased LJM1’s 13% equity interest and the redeemable preference shares for $14.4 million. Enron currently owns this equity interest and consolidates the Brazilian company.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LJM2 paid Enron $30 million for a 75% equity interest in a power project in Poland. Enron recognized a $16 million gain in 1999 on the sale.  Enron paid $750,000 to LJM2 as an equity placement fee.  In March 2000, Enron repurchased 25% of the equity in the Polish power project from LJM2 for $10.6 million, and Whitewing acquired the remaining 50% from LJM2 for $21.3 million.  Enron and Whitewing still own their respective equity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In December 1999, LJM2 acquired a 90% equity interest in an Enron entity with ownership rights to certain natural gas reserves for $3 million.  As a result, Enron recognized $3 million in revenue from an existing commodity contract.  Subsequently, LJM2 assigned a portion of its ownership interest in the entity to Enron and Whitewing at no cost (to achieve certain after-tax benefits).  Enron believes LJM2 continues to own its remaining interest.</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s>
        <w:rPr/>
      </w:pPr>
      <w:r>
        <w:rPr>
          <w:rFonts w:cs="Courier New" w:ascii="Courier New" w:hAnsi="Courier New"/>
          <w:i/>
        </w:rPr>
        <w:tab/>
        <w:t>Portfolio SPEs.</w:t>
      </w:r>
      <w:r>
        <w:rPr>
          <w:rFonts w:cs="Courier New" w:ascii="Courier New" w:hAnsi="Courier New"/>
        </w:rPr>
        <w:t xml:space="preserve">  Enron and LJM established a series of SPEs to mitigate market exposures on Enron investments, including investments in NPW, Rhythms NetConnections, Inc., and other technology, energy, and energy-related companies.  LJM made $191 million in equity investments in five separate SPEs ($127 million in the four Raptor SPEs and $64 million related to the Rhythms SPE), three of which (Raptor I, II and IV) were also capitalized with Enron stock and derivatives which could have required the future delivery of Enron stock. Raptor III was capitalized with an economic interest in warrants convertible into stock of NPW.  The Rhythms SPE is discussed in Note 3 in the “LJM1 Consolidation” section.  Enron subsequently engaged in hedging transactions with these SPEs, which included price swap derivatives, call options and put options.  The derivatives and options generally were intended to hedge Enron’s risk in certain investments having an aggregate notional amount of approximately $1.9 billion.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first quarter of 2001, Enron entered into a series of transactions with the Raptor SPEs that could have obligated Enron to issue Enron common stock in the future in exchange for notes receivable.  These transactions, along with a transaction entered into in 2000, obligated Enron to deliver up to 30 million shares of Enron common stock to the Raptor SPEs in March 2005.  Such transactions were to have been accounted for as equity transactions when settled.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as a result of deterioration in the credit quality of the Raptor SPEs caused by the decline in Enron and NPW’s stock price, the increase in Raptor’s exposure under derivative contracts with Enron and the increasing dilutive effect on Enron’s earnings per share calculation, Enron acquired LJM2’s equity in the SPEs for $35 million and terminated the entities.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recognized pre-tax earnings (losses) relating to risk management activities of $119 million, $518 million and ($166) million in 1999, 2000 and 2001, respectively, including the effect of a $711 million pre-tax charge recognized in 2001, related to the decline in credit quality and ultimate termination of the Raptor SPEs.  During 2000 and the nine months ended September 30, 2001, the Raptor SPEs hedged losses of $501 million and $453 million, respectively.  The Rhythms SPE was used to hedge Enron’s exposure arising from an investment in the stock of Rhythms NetConnections, Inc.  However, it was subsequently determined that it did not meet the criteria to qualify as an adequately capitalized unconsolidated SPE.  See Note 3 for a discussion of the restatements related to the Rhythms SPE.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total, LJM1 and LJM2 invested $191 million and received $319 million (an estimated $95 million of which is non-cash value from the receipt of 3.6 million shares of Enron restricted stock) related to their investments in these five SPEs.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Call Option.  </w:t>
      </w:r>
      <w:r>
        <w:rPr>
          <w:rFonts w:cs="Courier New" w:ascii="Courier New" w:hAnsi="Courier New"/>
        </w:rPr>
        <w:t>In May 2000, Enron purchased a call option from LJM2 on two gas turbines at the same time that LJM2 contracted to purchase the gas turbines from the manufacturer.  Enron paid LJM2 $1.2 million for this right during a seven-month period in 2000.  The call option gave Enron the right to acquire these turbines from LJM2 at LJM2’s cost, which was $11.3 million.  The call option was subsequently assigned from Enron to an Enron-sponsored SPE capitalized by a third-party financial institution.  In December 2000, the call option was exercised by the SPE, which acquired the turbines from LJM2 at cost.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Transactions with LJM and Other Entities.  </w:t>
      </w:r>
      <w:r>
        <w:rPr>
          <w:rFonts w:cs="Courier New" w:ascii="Courier New" w:hAnsi="Courier New"/>
        </w:rPr>
        <w:t>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LJM2 $3.5 million.  Subsequently, upon the execution of an engineering, procurement and construction contract with a wholly-owned subsidiary of Enron, the utility assigned the contractual right to acquire the gas turbine to that subsidiary.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Enron sold an equity investment in Enron Nigeria Barge Ltd. to an investment bank and provided seller financing.  In June 2000, LJM2 purchased this equity investment directly from the investment bank for $7.5 million and the assumption of the seller-financed note from Enron.  In September 2000, LJM2 sold the equity investment to an industry participant for $31.2 million.  The proceeds from LJM2’s sale were used by LJM2 to repay the principal and interest on the note from Enron in the amount of $23.0 million.  The remaining $8.2 million repaid LJM2’s $7.5 million purchase price and provided a profit of $700,000 to LJM2.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 between LJM and Whitewing.  </w:t>
      </w:r>
      <w:r>
        <w:rPr>
          <w:rFonts w:cs="Courier New" w:ascii="Courier New" w:hAnsi="Courier New"/>
        </w:rPr>
        <w:t>In December 1999, a wholly-owned subsidiary of Whitewing entered into a $38.5 million credit agreement with LJM2, the borrower.  The loan had a term of one year and carried an interest rate of LIBOR+2.5%.  The loan amount (including interest) of $40.3 million was repaid by LJM2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Currently Outstanding LJM2 Transactions.  </w:t>
      </w:r>
      <w:r>
        <w:rPr>
          <w:rFonts w:cs="Courier New" w:ascii="Courier New" w:hAnsi="Courier New"/>
        </w:rPr>
        <w:t>Enron believes that LJM2 currently has interests in six of the investments described above in which LJM2 originally invested $124 million, and that LJM2 has received cash inflows of $27 million from these investments.  These investments include $23 million in equity in two Enron-sponsored SPEs, $32.5 million in equity in Osprey Trust, $3 million in equity in an Enron affiliate and $50.7 million in direct equity investments in NPW (representing two transactions).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and LJM2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Other Employee Transactions.  </w:t>
      </w:r>
      <w:r>
        <w:rPr>
          <w:rFonts w:cs="Courier New" w:ascii="Courier New" w:hAnsi="Courier New"/>
        </w:rPr>
        <w:t>From June 1993 through November 1997, an Enron subsidiary was the general partner of JEDI and a third-party, the California Public Employees’ Retirement System (CalPERS), was the limited partner.  In November 1997, JEDI made a liquidating distribution to CalPERS of $383 million.  Concurrently, Chewco purchased a limited partnership interest in JEDI for $383 million, $132 million of which was financed by an interest-bearing loan from JEDI to Chewco, and $240 million of which was borrowed from a third-party financial institution (supported by a guarantee from Enron).  The restatement resulting from the Chewco transaction is discussed in Note 3.  Based on current information, Enron believes that a non-executive officer of an Enron division, Michael J. Kopper, was an investor in the general partner of Chewco and, at the time of the purchase, also was the manager of the Chewco general partner.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December 1997 to December 2000, Chewco received distributions of $433 million from JEDI.  Among other things, Chewco used a portion of these distributions to make repayments on its JEDI loan and to repay an additional borrowing from the third-party financial institution.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December 1999, Chewco purchased a $15 million equity interest in Osprey Trust, an Enron-sponsored SPE, from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March 2001, Enron purchased Chewco’s limited partnership interest in JEDI for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now believes that Mr. Kopper also was the controlling partner of a limited partnership that (through another limited partnership) purchased interests in affiliated subsidiaries of LJM1 in March 2000.  Enron also now believes that four of the six limited partners of the purchaser were, at the time of the investment, non-executive officers or employees of Enron, and a fifth limited partner was an entity associated with Mr. Fastow.  These officers and employees, and their most recent job titles with Enron, were Ben Glisan, Managing Director and Treasurer of Enron Corp.; Kristina Mordaunt, Managing Director and General Counsel of an Enron division; Kathy Lynn, Vice President of an Enron division; and Anne Yaeger, a non-officer employee.  Enron has terminated the employment of Mr. Glisan and Ms. Mordaunt. Ms. Lynn and Ms. Yaeger are no longer associated with Enron and Enron believes they are now associated with LJM2.  At the time these individuals invested in the limited partnership, LJM1 had ceased entering into new transactions with Enron.  However, some pre-existing investments involving LJM1 and Enron were still in effect, and Enron believes that these investments resulted in distributions or payments to LJM1 and to the limited partnership in which these individuals invested.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Pursuant to a services agreement among Enron, LJM1 and LJM2, Enron made available to LJM1 and LJM2 a portion of the time of certain of its employees to provide administrative assistance to the general partners of LJM1 and LJM2.  Mr. Kopper, Ms. Lynn and Ms. Yaeger, among other Enron employees, were made available to LJM1 or LJM2 from time to time during their employment by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Other Transactions.</w:t>
      </w:r>
      <w:r>
        <w:rPr>
          <w:rFonts w:cs="Courier New" w:ascii="Courier New" w:hAnsi="Courier New"/>
        </w:rPr>
        <w:t xml:space="preserve">  In the first nine months of 2001, Enron received approximately $241.8 million from Whitewing, an unconsolidated equity affiliate, related to monetizations.  In the second quarter of 2001, Enron acquired investments from Whitewing for approximately $28.8 million.  During the first nine months of 2000, Enron received approximately $____ million from Whitewing related to monetizations.  No gains were recorded by Enron in connection with these transactions.  Management believes that the terms of these transactions are reasonable compared to those which could have been negotiated with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5.</w:t>
        <w:tab/>
        <w:t>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
        <w:ind w:hanging="0" w:start="0" w:end="0"/>
        <w:rPr>
          <w:sz w:val="20"/>
        </w:rPr>
      </w:pPr>
      <w:r>
        <w:rPr>
          <w:sz w:val="20"/>
        </w:rPr>
        <w:tab/>
        <w:t xml:space="preserve">Net cash paid for income taxes for the first nine months of 2001 and 2000 was $168 million and $37 million, respectively.  Cash paid for interest for the same periods, net of amounts capitalized, was $629 million and $540 million, respectively. </w:t>
      </w:r>
    </w:p>
    <w:p>
      <w:pPr>
        <w:pStyle w:val="BodyTextIndent"/>
        <w:ind w:hanging="0" w:start="0" w:end="0"/>
        <w:rPr>
          <w:sz w:val="20"/>
        </w:rPr>
      </w:pPr>
      <w:r>
        <w:rPr>
          <w:sz w:val="20"/>
        </w:rPr>
      </w:r>
    </w:p>
    <w:p>
      <w:pPr>
        <w:pStyle w:val="BodyTextIndent"/>
        <w:ind w:hanging="0" w:start="0" w:end="0"/>
        <w:rPr/>
      </w:pPr>
      <w:r>
        <w:rPr>
          <w:b/>
          <w:sz w:val="20"/>
        </w:rPr>
        <w:tab/>
        <w:t xml:space="preserve">Business Acquisitions.  </w:t>
      </w:r>
      <w:r>
        <w:rPr>
          <w:sz w:val="20"/>
        </w:rPr>
        <w:t>In the third quarter of 2000, Enron, through a wholly-owned subsidiary, acquired all of the outstanding common shares of MG plc, a leading independent international metals market-making business that provides financial and marketing services to the global metals industry, for approximately $413 million in cash.  Enron recorded goodwill of approximately $354 million.  As of the date of acquisition, MG plc’s balance sheet primarily consisted of approximately $1.7 billion of metals inventory and $1.6 billion of short-term debt.</w:t>
      </w:r>
    </w:p>
    <w:p>
      <w:pPr>
        <w:pStyle w:val="BodyTextIndent"/>
        <w:ind w:hanging="0" w:start="0" w:end="0"/>
        <w:rPr>
          <w:sz w:val="20"/>
        </w:rPr>
      </w:pPr>
      <w:r>
        <w:rPr>
          <w:sz w:val="20"/>
        </w:rPr>
      </w:r>
    </w:p>
    <w:p>
      <w:pPr>
        <w:pStyle w:val="BodyTextIndent"/>
        <w:ind w:hanging="0" w:start="0" w:end="0"/>
        <w:rPr/>
      </w:pPr>
      <w:r>
        <w:rPr>
          <w:b/>
          <w:sz w:val="20"/>
        </w:rPr>
        <w:tab/>
      </w:r>
      <w:r>
        <w:rPr>
          <w:sz w:val="20"/>
        </w:rPr>
        <w:t>In 2000, Enron entered into an agreement with Azurix Corp. (Azurix) under which the holders of Azurix’s approximately 39 million publicly traded shares would receive cash of $8.375 in exchange for each share.  On March 16, 2001, Azurix shareholders approved the agreement whereby Enron paid approximately $330 million for an equivalent number of shares held by the public and all publicly traded shares of Azurix were redeemed.</w:t>
      </w:r>
    </w:p>
    <w:p>
      <w:pPr>
        <w:pStyle w:val="BodyTextIndent"/>
        <w:ind w:hanging="0" w:start="0" w:end="0"/>
        <w:rPr>
          <w:sz w:val="20"/>
        </w:rPr>
      </w:pPr>
      <w:r>
        <w:rPr>
          <w:sz w:val="20"/>
        </w:rPr>
      </w:r>
    </w:p>
    <w:p>
      <w:pPr>
        <w:pStyle w:val="BodyText"/>
        <w:tabs>
          <w:tab w:val="clear" w:pos="720"/>
          <w:tab w:val="left" w:pos="540" w:leader="none"/>
        </w:tabs>
        <w:spacing w:before="0" w:after="0"/>
        <w:rPr/>
      </w:pPr>
      <w:r>
        <w:rPr>
          <w:rFonts w:cs="Courier New" w:ascii="Courier New" w:hAnsi="Courier New"/>
        </w:rPr>
        <w:tab/>
      </w:r>
      <w:r>
        <w:rPr>
          <w:rFonts w:cs="Courier New" w:ascii="Courier New" w:hAnsi="Courier New"/>
          <w:b/>
        </w:rPr>
        <w:t>Other.</w:t>
      </w:r>
      <w:r>
        <w:rPr>
          <w:rFonts w:cs="Courier New" w:ascii="Courier New" w:hAnsi="Courier New"/>
        </w:rPr>
        <w:t xml:space="preserve">  In September 2001, Enron acquired LJM’s interests in the four Raptor SPEs for $35 million (see Note 3 “Description of Restatement Items” and Note 4).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6.</w:t>
        <w:tab/>
        <w:t>Litigation and Other Contingencies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a party to various claims and litigation, the significant items of which are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ind w:hanging="0" w:start="0"/>
        <w:rPr/>
      </w:pPr>
      <w:r>
        <w:rPr/>
        <w:t>Recent Securities, Fraud and Derivative Lawsuits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Since October 16, 2001, multiple class action lawsuits have been filed against Enron and certain current and former officers and/or directors (the Defendants) in the District Court for the Southern District of Texas.  The lawsuits allege that the Defendants violated sections 10(b) and 20(a) of the Securities Exchange Act of 1934, and rule 10b-5 promulgated thereunder, by issuing a series of material misrepresentations to the market during different class periods ranging from June 1, 1999 to October 30, 2001, thereby artificially inflating the price of Enron common and/or preferred stock.  The lawsuits generally claim that the alleged misrepresentations and omissions involved the Broadband Services Division, transactions with the LJM entities and Azurix and Enron’s accounting for various transactions.  The plaintiffs generally seek to recover compensatory damages, expert fees, attorney’s fees, costs of court and pre- and post-judgment interest.  Enron expects that these lawsuits will be consolidated into a single action and Enron intends to vigorously defend these lawsuits.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also is a nominal defendant in numerous shareholder derivative lawsuits pending in state courts in Texas and Oregon and in the United States District Court for the Southern District of Texas.  These lawsuits, which were filed after October 16, 2001, purport to assert derivative claims on behalf of Enron against certain current and/or former officers and directors of Enron, outside firms providing professional services to Enron and various other companies.  The claims asserted in these lawsuits include breach of the duty of disclosure, abuse of control, fraud, unjust enrichment and money had and received.  The plaintiffs seek actual and punitive damages, restitution, a constructive trust, an accounting injunctive relief, attorney’s fees, expert fees, pre- and post-judgment interest and court costs.  These lawsuits were filed very recently and Enron is investigating its responsibilities with respect to them.  Enron has also received requests from shareholders under Section 16(b) of the Securities Exchange Act of 1934 to recover short-swing profits from officers, directors and certain other parties.  Enron is currently investigating these requests.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November 12, 2001, a shareholder filed a class action in state court in Houston, Texas against Enron, its directors and Dynegy, seeking to enjoin the merger between Enron and Dynegy.  The petition alleges that Enron’s directors breached their fiduciary duties to Enron’s shareholders by agreeing to sell Enron for inadequate consideration, for improper purposes and without an adequate investigation of the alternatives available to Enron.  The shareholder seeks to enjoin the merger.  Enron intends to vigorously defend this lawsuit.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Although the outcome of these various lawsuits cannot be determined, a loss from these matters could well have material impact on Enron’s financial condition and/or results of operations.  The amount of any such loss is not currently estimable.  In addition, as explained in Note 2 (see “Merger with Dynegy and Related Equity Financing”), the completion of the merger with Dynegy is conditioned on the absence of any event after November 9, 2001 that would have a material adverse effect on Enron.  Pursuant to the merger agreement,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Other Litigation</w:t>
      </w:r>
    </w:p>
    <w:p>
      <w:pPr>
        <w:pStyle w:val="Normal"/>
        <w:tabs>
          <w:tab w:val="clear" w:pos="720"/>
          <w:tab w:val="left" w:pos="540" w:leader="none"/>
        </w:tabs>
        <w:rPr/>
      </w:pPr>
      <w:r>
        <w:rPr>
          <w:rFonts w:cs="Courier New" w:ascii="Courier New" w:hAnsi="Courier New"/>
          <w:i/>
        </w:rPr>
        <w:tab/>
        <w:t>Intratex.</w:t>
      </w:r>
      <w:r>
        <w:rPr>
          <w:rFonts w:cs="Courier New" w:ascii="Courier New" w:hAnsi="Courier New"/>
          <w:b/>
        </w:rPr>
        <w:t xml:space="preserve">  </w:t>
      </w:r>
      <w:r>
        <w:rPr>
          <w:rFonts w:cs="Courier New" w:ascii="Courier New" w:hAnsi="Courier New"/>
        </w:rPr>
        <w:t>In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San Juan Gas.</w:t>
      </w:r>
      <w:r>
        <w:rPr>
          <w:rFonts w:cs="Courier New" w:ascii="Courier New" w:hAnsi="Courier New"/>
        </w:rPr>
        <w:t xml:space="preserve">  On November 21, 1996, an explosion occurred in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agreed not to litigate further that issue, but to move these suits toward settlements or trials to determine whether each plaintiff was injured as a result of the explosion and, if so, the lawful damages attributable to such injury. The defendants agreed on a fund for settlements or final awards. Numerous claims have been settled and ten cases involving 18 plaintiffs were scheduled for trial in the United States District Court beginning on December 10, 2001.  Five of these cases involving 11 plaintiffs have been resolved.  No cases have yet been scheduled for trial in the Superior Court.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i/>
        </w:rPr>
        <w:tab/>
        <w:t>Trojan Investment Recovery.</w:t>
      </w:r>
      <w:r>
        <w:rPr>
          <w:rFonts w:cs="Courier New" w:ascii="Courier New" w:hAnsi="Courier New"/>
        </w:rPr>
        <w:t xml:space="preserve">  In early 1993, PGE ceased commercial operation of the Trojan nuclear power generating facility.  The Oregon Public Utility Commission (OPUC) granted PGE, through a general rate order, recovery of, and a return on, 87 percent of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In August 2000, PGE entered into agreements with the CUB and the staff of the OPUC to settle the litigation related to PGE’s recovery of its investment in the Trojan plant.  Under the agreements, the CUB agreed to withdraw from the litigation and to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the CUB’s withdrawal, the URP is the one remaining significant adverse party in the litigation.  The URP has indicated that it plans to continue to challenge the settlement and the original OPUC order allowing PGE recovery of and a return on its investment in Trojan.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rPr>
        <w:tab/>
      </w:r>
      <w:r>
        <w:rPr>
          <w:rFonts w:cs="Courier New" w:ascii="Courier New" w:hAnsi="Courier New"/>
          <w:i/>
        </w:rPr>
        <w:t>Azurix Litigation.</w:t>
      </w:r>
      <w:r>
        <w:rPr>
          <w:rFonts w:cs="Courier New" w:ascii="Courier New" w:hAnsi="Courier New"/>
        </w:rPr>
        <w:t xml:space="preserve">  In October 2000, several class actions were filed against Enron, Azurix and several of Enron’s officers and directors, alleging that some or all of the defendants violated Section 10(b) and 20(a) of the Securities Exchange Act of 1934 and Rule 10b-5 thereunder and Sections 11, 12 and 15 of the Securities Act of 1933.  The plaintiffs alleged that defendants made misrepresentations and omissions related to Azurix’s performance between June 9, 1999 and August 8, 2000.  The lawsuits were consolidated into one lawsuit in the United States District Court for the Southern District of Texas.  The plaintiffs seek rescission and compensatory damages, expert fees and attorney’s fees.  The defendants have moved to dismiss this lawsuit.  Enron intends to vigorously defend this lawsuit.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2016" w:leader="none"/>
          <w:tab w:val="left" w:pos="3456" w:leader="none"/>
          <w:tab w:val="left" w:pos="4752" w:leader="none"/>
          <w:tab w:val="left" w:pos="6192" w:leader="none"/>
          <w:tab w:val="left" w:pos="7632" w:leader="none"/>
        </w:tabs>
        <w:ind w:hanging="0" w:start="0"/>
        <w:rPr/>
      </w:pPr>
      <w:r>
        <w:rPr/>
        <w:t>Other Contingencies</w:t>
      </w:r>
    </w:p>
    <w:p>
      <w:pPr>
        <w:pStyle w:val="Normal"/>
        <w:tabs>
          <w:tab w:val="clear" w:pos="720"/>
          <w:tab w:val="left" w:pos="540" w:leader="none"/>
        </w:tabs>
        <w:rPr/>
      </w:pPr>
      <w:r>
        <w:rPr>
          <w:rFonts w:cs="Courier New" w:ascii="Courier New" w:hAnsi="Courier New"/>
          <w:i/>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tab/>
      </w:r>
      <w:r>
        <w:rPr>
          <w:rFonts w:cs="Courier New" w:ascii="Courier New" w:hAnsi="Courier New"/>
          <w:i/>
        </w:rPr>
        <w:t xml:space="preserve">Developments in the California Power Market.  </w:t>
      </w:r>
      <w:r>
        <w:rPr>
          <w:rFonts w:cs="Courier New" w:ascii="Courier New" w:hAnsi="Courier New"/>
        </w:rPr>
        <w:t>During 2000, prices for wholesale electricity in California significantly increased as a result of a combination of factors, including higher natural gas prices, reduction in available hydroelectric generation resources, increased demand, over-reliance on the spot market for electricity and limitations on supply.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and certain obligations related to the difference between third party power purchase costs and frozen rates charged to retail customers.  PG&amp;E and SCE have defaulted on or are challenging payments owed for certain outstanding obligations, including wholesale power purchased through the California Power Exchange (the Power Exchange), from the California Independent System Operator (the Independent System Operator), and from qualifying facilities.  In addition, PG&amp;E and the Power Exchange each have filed a voluntary petition for bankruptcy.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Enron has entered into a variety of transactions with California utilities, the Power Exchange, the Independent System Operator, end users of energy in California, and other third parties, and is owed amounts by certain of these entities.  Enron has established reserves related to such activities and believes that the combination of such reserves in accounts receivables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position or results of operations.</w:t>
      </w:r>
      <w:r>
        <w:rPr>
          <w:rFonts w:cs="Courier New" w:ascii="Courier New" w:hAnsi="Courier New"/>
          <w:u w:val="single"/>
        </w:rPr>
        <w:t xml:space="preserve">  </w:t>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pPr>
      <w:r>
        <w:rPr>
          <w:rFonts w:cs="Courier New" w:ascii="Courier New" w:hAnsi="Courier New"/>
        </w:rPr>
        <w:tab/>
      </w:r>
      <w:r>
        <w:rPr>
          <w:rFonts w:cs="Courier New" w:ascii="Courier New" w:hAnsi="Courier New"/>
          <w:i/>
        </w:rPr>
        <w:t xml:space="preserve">India.  </w:t>
      </w:r>
      <w:r>
        <w:rPr>
          <w:rFonts w:cs="Courier New" w:ascii="Courier New" w:hAnsi="Courier New"/>
        </w:rPr>
        <w:t>Enron indirectly owns 50% of the net voting interest in Dabhol Power Company (Dabhol), which owns a 740 megawatt power plant and is constructing an additional 1,444 megawatt power plant together with an LNG regasification facility (collectively Phase II) in India.  Enron accounts for its investment in Dabhol under the equity method and the debt of Dabhol is non-recourse to Enron.  As of September 30, 2001, Enron’s investment in and advances to Dabhol and related activities was $1.2 billion.  This amount is included in “non-core businesses” as discussed in Note 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Dabhol has been in dispute with the Maharashtra State Electricity Board (MSEB), the purchaser of power from Dabhol, and the Government of Maharashtra (GOM) and the federal government of India (GOI), the guarantors of payments by the MSEB pursuant to the terms and conditions of the power purchase agreements (PPA) and the other project documents.  The contract disputes relate principally to (a) the failure by the MSEB to pay certain capacity and energy payments under the PPA, and the failure of the GOM and GOI to satisfy certain guarantee obligations under the project documents and (b) MSEB’s statements that MSEB has “rescinded” the PPA and MSEB is therefore no longer bound by the PPA.  As a result of such disputes, the 740 megawatt power plant is not being dispatched by MSEB, the Phase II lenders have stopped funding the continued construction of Phase II, the construction contractors have terminated the construction contracts for non-payment and Dabhol has suspended all construction activities.  Additionally, the lenders to Dabhol have assumed control of Dabhol’s bank accounts in order to monitor the use of its remaining available funds.  There is no assurance that Dabhol will be able to resolve the disputes with MSEB, GOM and GOI to its favor and to successfully collect on and to enforce any judgment or settlement.  However, Dabhol believes that the MSEB’s actions are in clear violation of the terms of the PPA, and Dabhol intends to pursue all available legal remedies under the project documents which would entitle Enron to receive an amount in excess of its investment.  On November 5, 2001, Dabhol delivered notice stating its intent to sell and transfer the power plant and the LNG regasification facility to MSEB pursuant to the provisions of the PPA.  Most recently, certain of the Indian financial institutions providing loans to the project have obtained court orders temporarily preventing Dabhol from terminating the PPA.  These same lenders are seeking broader orders requiring Dabhol to restart the power plant pending the resolution of disputes between Dabhol and MSEB.  In addition, the India Commissioner of Customs has recently passed orders adversely altering the custom duty rates applicable to substantial portions of the project and other rulings detrimental to the project.  Dabhol intends to appeal these orders.  Based on the latest developments, Enron cannot predict the outcome of this dispute.  However, the ultimate outcome of these proceedings or negotiations may have a material adverse effect on Enron’s financial position and results of operations.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t>7.</w:t>
        <w:tab/>
        <w:t>SALE OF PORTLAND GENERAL</w:t>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On October 5, 2001, Enron entered into an agreement with Northwest Natural Gas Company (NW Natural) for the sale of Portland General for $1.875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 currently believes that the after-tax gain on the sale of Portland General will not be material.  However, certain regulatory and other contingencies could negatively impact Enron’s current estimate.  Enron’s carrying amount of Portland General as of September 30, 2001 was approximately $1.6 billion.  Income before interest, minority interest and income taxes for Portland General was $108 million and $241 million for the nine month periods ended September 30, 2001 and 2000, respectively.</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2"/>
        </w:numPr>
        <w:tabs>
          <w:tab w:val="clear" w:pos="720"/>
          <w:tab w:val="left" w:pos="540" w:leader="none"/>
        </w:tabs>
        <w:ind w:hanging="0" w:start="0" w:end="0"/>
        <w:rPr>
          <w:rFonts w:ascii="Courier New" w:hAnsi="Courier New" w:cs="Courier New"/>
          <w:b/>
        </w:rPr>
      </w:pPr>
      <w:r>
        <w:rPr>
          <w:rFonts w:cs="Courier New" w:ascii="Courier New" w:hAnsi="Courier New"/>
          <w:b/>
        </w:rPr>
        <w:t>UNCONSOLIDATED EQUITY AFFILIATES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Summarized below is a description related to two of Enron’s unconsolidated equity affiliates for which Enron has committed to issue equity to satisfy obligations of these equity affiliates.  As discussed in Note 2, Enron’s current common share stock price, liquidity situation and credit ratings may significantly impact Enron’s ability to satisfy these obligations solely with equity issuances.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Whitewing Associates L.P.  </w:t>
      </w:r>
      <w:r>
        <w:rPr>
          <w:rFonts w:cs="Courier New" w:ascii="Courier New" w:hAnsi="Courier New"/>
        </w:rPr>
        <w:t>Whitewing is an entity formed by Enron and various investors, investing through an entity named Osprey, to acquire and own energy-related assets and other investments.  Whitewing currently holds assets with a book basis of approximately $2.1 billion.  This includes $1.3 billion in energy related projects in Europe and South America, including European power plants, an electric distribution company in Brazil and $800 million of merchant investments.  The merchant portfolio includes both private and publicly traded entities and consists of oil and gas investments (40%), power generation and energy investments (45%) and technology related and other investments (15%).  Osprey was capitalized with $2.4 billion in debt and $220 million in equity.  The Osprey debt is supported by the assets within Whitewing, Enron’s Mandatorily Convertible Junior Preferred Stock, Series B (which is convertible into 50 million shares of Enron common stock) and a contingent obligation of Enron to issue additional shares, if needed, to retire such debt obligation.  In the event that the sale of equity is not sufficient to retire such obligations, Enron is liable for the shortfall.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Atlantic Water Trust.  </w:t>
      </w:r>
      <w:r>
        <w:rPr>
          <w:rFonts w:cs="Courier New" w:ascii="Courier New" w:hAnsi="Courier New"/>
        </w:rPr>
        <w:t>Atlantic Water Trust is an entity formed by Enron and unrelated institutional investors, investing through an entity named Marlin Water Trust (Marlin), for the purpose of acquiring and holding an interest in Azurix Corp. (Azurix).  The primary asset of Azurix is Wessex,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Description of Trigger Events.</w:t>
      </w:r>
      <w:r>
        <w:rPr>
          <w:rFonts w:cs="Courier New" w:ascii="Courier New" w:hAnsi="Courier New"/>
        </w:rPr>
        <w:t xml:space="preser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or below in the case of Osprey and $34.13 per share or below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a Note Trigger Event was to occur, Enron has 21 days to file a registration statement for the issuance of equity to repay the notes and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addition, the Dynegy merger agreement precludes equity issuances over $2 billion without Dynegy’s consent.  In the event that Enron does not file its registration statement or the registration statement is not effective during the respective time requirements, Enron must pursue a private placement of equity, if permitted.  If Enron does not sell equity in an amount sufficient to repay the notes, Enron is obligated to immediately pay the difference in cash.  In the event that Enron fails to repay these commitments described above or is unable to obtain a waiver of such obligations, a series of events would begin which could impact Enron’s compliance with the terms of its Revolving Credit Agreements and certain other obligations, including bank debt facilities.  </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b/>
        <w:t>Either as a result of the restructuring plan discussed in Note 2 or to raise cash to repay Enron’s obligations discussed above, Enron may sell the assets of Whitewing and/or Atlantic Water Trusts for amounts below their carrying values.  The net proceeds from the sale of such assets can be used to repay Enron’s obligations discussed above.  Accordingly, Enron may be required to record asset writedowns, possibly as early as the fourth quarter of 2001.</w:t>
      </w:r>
    </w:p>
    <w:p>
      <w:pPr>
        <w:pStyle w:val="Normal"/>
        <w:numPr>
          <w:ilvl w:val="0"/>
          <w:numId w:val="0"/>
        </w:numPr>
        <w:tabs>
          <w:tab w:val="clear" w:pos="720"/>
          <w:tab w:val="left" w:pos="540" w:leader="none"/>
        </w:tabs>
        <w:outlineLvl w:val="0"/>
        <w:rPr>
          <w:rFonts w:ascii="Courier New" w:hAnsi="Courier New" w:cs="Courier New"/>
          <w:bCs/>
        </w:rPr>
      </w:pPr>
      <w:r>
        <w:rPr>
          <w:rFonts w:cs="Courier New" w:ascii="Courier New" w:hAnsi="Courier New"/>
          <w:bCs/>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9.</w:t>
        <w:tab/>
        <w:t>MINORITY INTERESTS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consolidates a limited partnership (the Limited Partnership), for which the consolidated third party’s ownership interest is reflected in minority interests on Enron’s balance sheet in the amount of $691 million at September 30, 2001.  The Limited Partnership assets include a $690 million note payable from Enron and certain merchant investments, both domestic and international.  Enron anticipates the receipt of $250 million from the sale of one of the Limited Partnership’s investments, a local gas distribution company in Brazil, upon the closing of the sale which is pending certain regulatory and other approvals.  Enron may be required to use the net proceeds upon the closing of the sale, or a portion thereon, to repay the note payable.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November 12, 2001 downgrade in Enron’s senior unsecured debt rating to BBB- by Standard &amp; Poor’s has caused a ratings event related to the Limited Partnership.  This ratings event started a nine business day period during which Enron has the right, until November 26, 2001, to either post an unsecured letter of credit equal to Enron’s note payable or to purchase the investors’ interest in the Limited Partnership.  To the extent that Enron does not satisfy this requirement by November 26, 2001, the investors have the right to demand Enron immediately repay the note payable.  Additionally, as a result of the rating downgrade, the investors, subject to certain actions, are able to immediately begin the Limited Partnership asset liquidation process.  Consistent with the restructuring plan discussed in Note 2, Enron is currently working with the lenders to develop a mutually acceptable amendment to the transaction in order to avoid an early Enron payment obligation.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that Enron fails to repay or collateralize its obligation under this commitment or is unable to refinance or obtain a waiver of its obligation, a series of events would begin which could impact Enron’s compliance with the terms of its Revolving Credit Agreements and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Either as a result of the restructuring plan discussed in Note 2 or to raise cash to repay Enron’s obligation discussed above, Enron may sell the Limited Partnership assets for amounts below their carrying values.  The net proceeds from the sale of such assets can be used to repay Enron’s obligation.  Accordingly, Enron may be required to record asset writedowns, possibly as early as the fourth quarter of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It is not possible to predict whether Enron will be able to favorably complete the actions described above.  An adverse outcome with respect to any of these matters could have a material adverse impact on Enron’s ability to continue as a going concern.</w:t>
      </w:r>
    </w:p>
    <w:p>
      <w:pPr>
        <w:pStyle w:val="Footer"/>
        <w:tabs>
          <w:tab w:val="clear" w:pos="4320"/>
          <w:tab w:val="clear" w:pos="8640"/>
          <w:tab w:val="left" w:pos="540" w:leader="none"/>
        </w:tabs>
        <w:rPr>
          <w:rFonts w:ascii="Courier New" w:hAnsi="Courier New" w:cs="Courier New"/>
          <w:bCs/>
        </w:rPr>
      </w:pPr>
      <w:r>
        <w:rPr>
          <w:rFonts w:cs="Courier New" w:ascii="Courier New" w:hAnsi="Courier New"/>
          <w:bCs/>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10.</w:t>
        <w:tab/>
        <w:t>EARNINGS PER SHARE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2"/>
        <w:keepNext w:val="false"/>
        <w:keepLines w:val="false"/>
        <w:tabs>
          <w:tab w:val="clear" w:pos="264"/>
          <w:tab w:val="left" w:pos="540" w:leader="none"/>
        </w:tabs>
        <w:rPr>
          <w:sz w:val="20"/>
        </w:rPr>
      </w:pPr>
      <w:r>
        <w:rPr>
          <w:sz w:val="20"/>
        </w:rPr>
        <w:tab/>
        <w:t>The computation of basic and diluted earnings per share is as follows (in millions, except per share amounts):</w:t>
      </w:r>
    </w:p>
    <w:p>
      <w:pPr>
        <w:pStyle w:val="Normal"/>
        <w:tabs>
          <w:tab w:val="clear" w:pos="720"/>
          <w:tab w:val="left" w:pos="540" w:leader="none"/>
          <w:tab w:val="center" w:pos="8190" w:leader="none"/>
        </w:tabs>
        <w:jc w:val="both"/>
        <w:rPr>
          <w:rFonts w:ascii="Courier New" w:hAnsi="Courier New" w:cs="Courier New"/>
          <w:sz w:val="16"/>
        </w:rPr>
      </w:pPr>
      <w:r>
        <w:rPr>
          <w:rFonts w:cs="Courier New" w:ascii="Courier New" w:hAnsi="Courier New"/>
          <w:sz w:val="16"/>
        </w:rPr>
        <w:tab/>
        <w:tab/>
        <w:t>Nine Months Ended</w:t>
      </w:r>
    </w:p>
    <w:p>
      <w:pPr>
        <w:pStyle w:val="Normal"/>
        <w:tabs>
          <w:tab w:val="clear" w:pos="720"/>
          <w:tab w:val="left" w:pos="540" w:leader="none"/>
          <w:tab w:val="left" w:pos="4950" w:leader="none"/>
          <w:tab w:val="center" w:pos="5940" w:leader="none"/>
          <w:tab w:val="center" w:pos="828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Third Quarter</w:t>
        <w:tab/>
        <w:t>September 30,</w:t>
        <w:tab/>
      </w:r>
    </w:p>
    <w:p>
      <w:pPr>
        <w:pStyle w:val="Normal"/>
        <w:tabs>
          <w:tab w:val="clear" w:pos="720"/>
          <w:tab w:val="left" w:pos="540" w:leader="none"/>
          <w:tab w:val="left" w:pos="4950" w:leader="none"/>
          <w:tab w:val="center" w:pos="5400" w:leader="none"/>
          <w:tab w:val="center" w:pos="6480" w:leader="none"/>
          <w:tab w:val="center" w:pos="7740" w:leader="none"/>
          <w:tab w:val="center" w:pos="882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2001</w:t>
        <w:tab/>
        <w:t>2000(b)</w:t>
        <w:tab/>
        <w:t>2001(a)(b)</w:t>
        <w:tab/>
        <w:t>2000(b)</w:t>
        <w:tab/>
      </w:r>
    </w:p>
    <w:p>
      <w:pPr>
        <w:pStyle w:val="BodyText3"/>
        <w:tabs>
          <w:tab w:val="clear" w:pos="360"/>
          <w:tab w:val="left" w:pos="540" w:leader="none"/>
        </w:tabs>
        <w:rPr/>
      </w:pPr>
      <w:r>
        <w:rPr/>
        <w:t>Numerator:</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Basic</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$(663)</w:t>
        <w:tab/>
        <w:t>$ 303</w:t>
        <w:tab/>
        <w:t>$ 187</w:t>
        <w:tab/>
        <w:t>$ 797</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 dividends:</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(4)</w:t>
        <w:tab/>
        <w:t>(5)</w:t>
        <w:tab/>
        <w:t>(12)</w:t>
        <w:tab/>
        <w:t>(13)</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rFonts w:cs="Courier New" w:ascii="Courier New" w:hAnsi="Courier New"/>
          <w:sz w:val="16"/>
        </w:rPr>
        <w:tab/>
        <w:tab/>
        <w:tab/>
        <w:t>Series B Preferred Stock</w:t>
        <w:tab/>
      </w:r>
      <w:r>
        <w:rPr>
          <w:rFonts w:cs="Courier New" w:ascii="Courier New" w:hAnsi="Courier New"/>
          <w:sz w:val="16"/>
          <w:u w:val="single"/>
        </w:rPr>
        <w:t xml:space="preserve">  (16)</w:t>
        <w:tab/>
        <w:t xml:space="preserve">  (16)</w:t>
        <w:tab/>
        <w:t>(49)</w:t>
        <w:tab/>
        <w:t>(49</w:t>
      </w:r>
      <w:r>
        <w:rPr>
          <w:rFonts w:cs="Courier New" w:ascii="Courier New" w:hAnsi="Courier New"/>
          <w:sz w:val="16"/>
        </w:rPr>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(683)</w:t>
        <w:tab/>
        <w:t>282</w:t>
        <w:tab/>
        <w:t>126</w:t>
        <w:tab/>
        <w:t>735</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w:t>
        <w:tab/>
      </w:r>
      <w:r>
        <w:rPr>
          <w:rFonts w:cs="Courier New" w:ascii="Courier New" w:hAnsi="Courier New"/>
          <w:sz w:val="16"/>
          <w:u w:val="double"/>
        </w:rPr>
        <w:t>$(683)</w:t>
        <w:tab/>
        <w:t>$ 282</w:t>
        <w:tab/>
        <w:t>$ 145</w:t>
        <w:tab/>
        <w:t>$ 735</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$(683)</w:t>
        <w:tab/>
        <w:t>$ 282</w:t>
        <w:tab/>
        <w:t>$ 126</w:t>
        <w:tab/>
        <w:t>$ 735</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Effect of assumed conversion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dilutive securities(a):</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5</w:t>
        <w:tab/>
        <w:t>-</w:t>
        <w:tab/>
        <w:t>13</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r>
      <w:r>
        <w:rPr>
          <w:rFonts w:cs="Courier New" w:ascii="Courier New" w:hAnsi="Courier New"/>
          <w:sz w:val="16"/>
          <w:u w:val="single"/>
        </w:rPr>
        <w:t xml:space="preserve">    -</w:t>
        <w:tab/>
        <w:t xml:space="preserve">   16</w:t>
        <w:tab/>
        <w:t>-</w:t>
        <w:tab/>
        <w:t>49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(683)</w:t>
        <w:tab/>
        <w:t>303</w:t>
        <w:tab/>
        <w:t>126</w:t>
        <w:tab/>
        <w:t>797</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after assumed</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conversions</w:t>
        <w:tab/>
      </w:r>
      <w:r>
        <w:rPr>
          <w:rFonts w:cs="Courier New" w:ascii="Courier New" w:hAnsi="Courier New"/>
          <w:sz w:val="16"/>
          <w:u w:val="double"/>
        </w:rPr>
        <w:t>$(683)</w:t>
        <w:tab/>
        <w:t>$ 303</w:t>
        <w:tab/>
        <w:t>$ 145</w:t>
        <w:tab/>
        <w:t>$ 797</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Denominator: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basic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weighted-average shares</w:t>
        <w:tab/>
        <w:t>761</w:t>
        <w:tab/>
        <w:t>729</w:t>
        <w:tab/>
        <w:t>753</w:t>
        <w:tab/>
        <w:t>719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Effect of assumed conversion of</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dilutive securities(a):</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35</w:t>
        <w:tab/>
        <w:t>-</w:t>
        <w:tab/>
        <w:t>35</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t>-</w:t>
        <w:tab/>
        <w:t>50</w:t>
        <w:tab/>
        <w:t>-</w:t>
        <w:tab/>
        <w:t>50</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Stock options</w:t>
        <w:tab/>
        <w:t>-</w:t>
        <w:tab/>
        <w:t xml:space="preserve">   44</w:t>
        <w:tab/>
        <w:t>23</w:t>
        <w:tab/>
        <w:t>44</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Equity instruments</w:t>
        <w:tab/>
      </w:r>
      <w:r>
        <w:rPr>
          <w:rFonts w:cs="Courier New" w:ascii="Courier New" w:hAnsi="Courier New"/>
          <w:sz w:val="16"/>
          <w:u w:val="single"/>
        </w:rPr>
        <w:t xml:space="preserve">    -</w:t>
        <w:tab/>
        <w:t>-</w:t>
        <w:tab/>
        <w:t>30</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Dilutive potential common shares</w:t>
        <w:tab/>
      </w:r>
      <w:r>
        <w:rPr>
          <w:rFonts w:cs="Courier New" w:ascii="Courier New" w:hAnsi="Courier New"/>
          <w:sz w:val="16"/>
          <w:u w:val="single"/>
        </w:rPr>
        <w:t xml:space="preserve">    -</w:t>
        <w:tab/>
        <w:t xml:space="preserve">  129</w:t>
        <w:tab/>
        <w:t>53</w:t>
        <w:tab/>
        <w:t>129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diluted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adjusted weighted-average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shares and assumed conversions</w:t>
        <w:tab/>
      </w:r>
      <w:r>
        <w:rPr>
          <w:rFonts w:cs="Courier New" w:ascii="Courier New" w:hAnsi="Courier New"/>
          <w:sz w:val="16"/>
          <w:u w:val="double"/>
        </w:rPr>
        <w:t xml:space="preserve">  761</w:t>
        <w:tab/>
        <w:t xml:space="preserve">  858</w:t>
        <w:tab/>
        <w:t>806</w:t>
        <w:tab/>
        <w:t>848</w:t>
      </w:r>
    </w:p>
    <w:p>
      <w:pPr>
        <w:pStyle w:val="BodyText3"/>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t>Basic earnings (loss) per share: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Before cumulative effect of </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$(0.90)</w:t>
        <w:tab/>
        <w:t>$0.39</w:t>
        <w:tab/>
        <w:t>$0.16</w:t>
        <w:tab/>
        <w:t>$1.02</w:t>
      </w:r>
    </w:p>
    <w:p>
      <w:pPr>
        <w:pStyle w:val="Footer"/>
        <w:tabs>
          <w:tab w:val="clear" w:pos="4320"/>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0.03</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Basic earnings (loss) per share</w:t>
        <w:tab/>
      </w:r>
      <w:r>
        <w:rPr>
          <w:rFonts w:cs="Courier New" w:ascii="Courier New" w:hAnsi="Courier New"/>
          <w:sz w:val="16"/>
          <w:u w:val="double"/>
        </w:rPr>
        <w:t>$(0.90)</w:t>
        <w:tab/>
        <w:t>$0.39</w:t>
        <w:tab/>
        <w:t>$0.19</w:t>
        <w:tab/>
        <w:t>$1.02</w:t>
      </w:r>
    </w:p>
    <w:p>
      <w:pPr>
        <w:pStyle w:val="BodyText3"/>
        <w:tabs>
          <w:tab w:val="left" w:pos="360" w:leader="none"/>
          <w:tab w:val="left" w:pos="720" w:leader="none"/>
          <w:tab w:val="left" w:pos="1080" w:leader="none"/>
          <w:tab w:val="decimal" w:pos="5220" w:leader="none"/>
          <w:tab w:val="decimal" w:pos="6300" w:leader="none"/>
          <w:tab w:val="decimal" w:pos="7560" w:leader="none"/>
          <w:tab w:val="decimal" w:pos="8640" w:leader="none"/>
        </w:tabs>
        <w:rPr/>
      </w:pPr>
      <w:r>
        <w:rPr/>
        <w:t>Diluted earnings (loss) per share:</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Before cumulative effect of</w:t>
      </w:r>
    </w:p>
    <w:p>
      <w:pPr>
        <w:pStyle w:val="Footer"/>
        <w:tabs>
          <w:tab w:val="clear" w:pos="4320"/>
          <w:tab w:val="clear" w:pos="8640"/>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$(0.90)</w:t>
        <w:tab/>
        <w:t>$0.35</w:t>
        <w:tab/>
        <w:t>$0.16</w:t>
        <w:tab/>
        <w:t>$0.94</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Diluted earnings (loss) per share</w:t>
        <w:tab/>
      </w:r>
      <w:r>
        <w:rPr>
          <w:rFonts w:cs="Courier New" w:ascii="Courier New" w:hAnsi="Courier New"/>
          <w:sz w:val="16"/>
          <w:u w:val="double"/>
        </w:rPr>
        <w:t>$(0.90)</w:t>
        <w:tab/>
        <w:t>$0.35</w:t>
        <w:tab/>
        <w:t>$0.18</w:t>
        <w:tab/>
        <w:t>$0.94</w:t>
      </w:r>
    </w:p>
    <w:p>
      <w:pPr>
        <w:pStyle w:val="BodyTextIndent2"/>
        <w:tabs>
          <w:tab w:val="clear" w:pos="6480"/>
          <w:tab w:val="clear" w:pos="7920"/>
          <w:tab w:val="left" w:pos="360" w:leader="none"/>
        </w:tabs>
        <w:rPr/>
      </w:pPr>
      <w:r>
        <w:rPr/>
        <w:t>(a)</w:t>
        <w:tab/>
        <w:t>For the three months ended September 30, 2001, the dividends and conversion of the second preferred stock and the Series B Preferred Stock, stock options and equity instruments have been excluded from the computation because they are antidilutive.  For the nine months ended September 30, 2001, the dividends and conversion of the second preferred stock and the Series B Preferred Stock have been excluded from the computation because they are antidilutive.</w:t>
      </w:r>
    </w:p>
    <w:p>
      <w:pPr>
        <w:sectPr>
          <w:headerReference w:type="default" r:id="rId22"/>
          <w:headerReference w:type="first" r:id="rId23"/>
          <w:footerReference w:type="default" r:id="rId24"/>
          <w:footerReference w:type="first" r:id="rId25"/>
          <w:type w:val="nextPage"/>
          <w:pgSz w:w="12240" w:h="15840"/>
          <w:pgMar w:left="1440" w:right="1440" w:gutter="0" w:header="720" w:top="776" w:footer="720" w:bottom="776"/>
          <w:pgNumType w:fmt="decimal"/>
          <w:formProt w:val="false"/>
          <w:textDirection w:val="lrTb"/>
          <w:docGrid w:type="default" w:linePitch="360" w:charSpace="0"/>
        </w:sect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Restated (see Note 3).</w:t>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11.</w:t>
        <w:tab/>
        <w:t>COMPREHENSIVE INCOME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Comprehensive income (loss) includes the following (in millions):</w:t>
      </w:r>
    </w:p>
    <w:p>
      <w:pPr>
        <w:pStyle w:val="Normal"/>
        <w:tabs>
          <w:tab w:val="clear" w:pos="720"/>
          <w:tab w:val="left" w:pos="540" w:leader="none"/>
          <w:tab w:val="center" w:pos="7650" w:leader="none"/>
        </w:tabs>
        <w:jc w:val="both"/>
        <w:rPr>
          <w:rFonts w:ascii="Courier New" w:hAnsi="Courier New" w:cs="Courier New"/>
        </w:rPr>
      </w:pPr>
      <w:r>
        <w:rPr>
          <w:rFonts w:cs="Courier New" w:ascii="Courier New" w:hAnsi="Courier New"/>
        </w:rPr>
        <w:tab/>
        <w:tab/>
        <w:t>Nine Months Ended</w:t>
      </w:r>
    </w:p>
    <w:p>
      <w:pPr>
        <w:pStyle w:val="Normal"/>
        <w:tabs>
          <w:tab w:val="clear" w:pos="720"/>
          <w:tab w:val="left" w:pos="540" w:leader="none"/>
          <w:tab w:val="left" w:pos="4410" w:leader="none"/>
          <w:tab w:val="center" w:pos="5400" w:leader="none"/>
          <w:tab w:val="center" w:pos="774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t>September 30,</w:t>
        <w:tab/>
      </w:r>
    </w:p>
    <w:p>
      <w:pPr>
        <w:pStyle w:val="Normal"/>
        <w:tabs>
          <w:tab w:val="clear" w:pos="720"/>
          <w:tab w:val="left" w:pos="540" w:leader="none"/>
          <w:tab w:val="left" w:pos="4410" w:leader="none"/>
          <w:tab w:val="center" w:pos="4860" w:leader="none"/>
          <w:tab w:val="center" w:pos="5940" w:leader="none"/>
          <w:tab w:val="center" w:pos="7200" w:leader="none"/>
          <w:tab w:val="center" w:pos="828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t>2001</w:t>
      </w:r>
      <w:r>
        <w:rPr>
          <w:rFonts w:cs="Courier New" w:ascii="Courier New" w:hAnsi="Courier New"/>
          <w:sz w:val="16"/>
          <w:u w:val="single"/>
        </w:rPr>
        <w:t>(a)</w:t>
      </w:r>
      <w:r>
        <w:rPr>
          <w:rFonts w:cs="Courier New" w:ascii="Courier New" w:hAnsi="Courier New"/>
          <w:u w:val="single"/>
        </w:rPr>
        <w:tab/>
        <w:t>2000</w:t>
      </w:r>
      <w:r>
        <w:rPr>
          <w:rFonts w:cs="Courier New" w:ascii="Courier New" w:hAnsi="Courier New"/>
          <w:sz w:val="16"/>
          <w:u w:val="single"/>
        </w:rPr>
        <w:t>(a)</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Net income (loss)</w:t>
        <w:tab/>
        <w:t>$(663)</w:t>
        <w:tab/>
        <w:t>$ 303</w:t>
        <w:tab/>
        <w:t>$ 207</w:t>
        <w:tab/>
        <w:t>$ 797</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Other comprehensive income (loss)</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r>
    </w:p>
    <w:p>
      <w:pPr>
        <w:pStyle w:val="Footer"/>
        <w:tabs>
          <w:tab w:val="clear" w:pos="4320"/>
          <w:tab w:val="clear" w:pos="864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Foreign currency translation</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adjustment</w:t>
        <w:tab/>
        <w:t>48</w:t>
        <w:tab/>
        <w:t>(89)</w:t>
        <w:tab/>
        <w:t>(301)</w:t>
      </w:r>
      <w:r>
        <w:rPr>
          <w:rFonts w:cs="Courier New" w:ascii="Courier New" w:hAnsi="Courier New"/>
          <w:sz w:val="16"/>
        </w:rPr>
        <w:t>(b)</w:t>
      </w:r>
      <w:r>
        <w:rPr>
          <w:rFonts w:cs="Courier New" w:ascii="Courier New" w:hAnsi="Courier New"/>
        </w:rPr>
        <w:tab/>
        <w:t>(190)</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Derivative instruments:</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Cumulative effect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accounting changes</w:t>
        <w:tab/>
        <w:t>-</w:t>
        <w:tab/>
        <w:t>-</w:t>
        <w:tab/>
        <w:t>25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Deferred gain on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associated with</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hedges of future cash flows</w:t>
        <w:tab/>
        <w:t>17</w:t>
        <w:tab/>
        <w:t>-</w:t>
        <w:tab/>
        <w:t>(5)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Recognition in earnings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previously deferred losses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related to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used as cash</w:t>
      </w:r>
    </w:p>
    <w:p>
      <w:pPr>
        <w:pStyle w:val="Normal"/>
        <w:tabs>
          <w:tab w:val="left" w:pos="360" w:leader="none"/>
          <w:tab w:val="left" w:pos="720" w:leader="none"/>
          <w:tab w:val="decimal" w:pos="5040" w:leader="none"/>
          <w:tab w:val="decimal" w:pos="6120" w:leader="none"/>
          <w:tab w:val="decimal" w:pos="7380" w:leader="none"/>
          <w:tab w:val="decimal" w:pos="8460" w:leader="none"/>
        </w:tabs>
        <w:rPr/>
      </w:pPr>
      <w:r>
        <w:rPr>
          <w:rFonts w:cs="Courier New" w:ascii="Courier New" w:hAnsi="Courier New"/>
        </w:rPr>
        <w:tab/>
        <w:tab/>
        <w:t xml:space="preserve"> flow hedges</w:t>
        <w:tab/>
        <w:t>(34)</w:t>
        <w:tab/>
        <w:t>-</w:t>
        <w:tab/>
        <w:t>(55)</w:t>
      </w:r>
      <w:r>
        <w:rPr>
          <w:rFonts w:cs="Courier New" w:ascii="Courier New" w:hAnsi="Courier New"/>
          <w:sz w:val="16"/>
        </w:rPr>
        <w:t>(c)</w:t>
      </w:r>
      <w:r>
        <w:rPr>
          <w:rFonts w:cs="Courier New" w:ascii="Courier New" w:hAnsi="Courier New"/>
        </w:rPr>
        <w:tab/>
        <w:t>-</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SFAS 71 deferral of net gains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to regulatory asset</w:t>
        <w:tab/>
        <w:t>12</w:t>
        <w:tab/>
        <w:t>-</w:t>
        <w:tab/>
        <w:t>12</w:t>
        <w:tab/>
        <w:t>-</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Change in value of available-</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for-sale investments</w:t>
        <w:tab/>
      </w:r>
      <w:r>
        <w:rPr>
          <w:rFonts w:cs="Courier New" w:ascii="Courier New" w:hAnsi="Courier New"/>
          <w:u w:val="single"/>
        </w:rPr>
        <w:t xml:space="preserve">  (16)</w:t>
        <w:tab/>
        <w:t xml:space="preserve">   (8)</w:t>
        <w:tab/>
        <w:t>(5)</w:t>
        <w:tab/>
        <w:t>(27</w:t>
      </w:r>
      <w:r>
        <w:rPr>
          <w:rFonts w:cs="Courier New" w:ascii="Courier New" w:hAnsi="Courier New"/>
        </w:rPr>
        <w:t>)</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Total comprehensive income (loss)</w:t>
        <w:tab/>
      </w:r>
      <w:r>
        <w:rPr>
          <w:rFonts w:cs="Courier New" w:ascii="Courier New" w:hAnsi="Courier New"/>
          <w:u w:val="double"/>
        </w:rPr>
        <w:t>$(636)</w:t>
        <w:tab/>
        <w:t>$ 206</w:t>
        <w:tab/>
        <w:t>$(123)</w:t>
        <w:tab/>
        <w:t>$ 580</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Restated (see Note 3).</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(b)</w:t>
        <w:tab/>
        <w:t>Change primarily reflects the decline in value of the Brazilian real and the British Pound.</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(c)</w:t>
        <w:tab/>
        <w:t>Includes an after-tax gain of $10 million related to the discontinuation of a cash flow hedge on a forecasted transaction that became probable of not occurring.</w:t>
      </w:r>
    </w:p>
    <w:p>
      <w:pPr>
        <w:pStyle w:val="Footer"/>
        <w:tabs>
          <w:tab w:val="clear" w:pos="4320"/>
          <w:tab w:val="clear" w:pos="8640"/>
          <w:tab w:val="left" w:pos="360" w:leader="none"/>
        </w:tabs>
        <w:rPr>
          <w:rFonts w:ascii="Courier New" w:hAnsi="Courier New" w:cs="Courier New"/>
          <w:sz w:val="16"/>
        </w:rPr>
      </w:pPr>
      <w:r>
        <w:rPr>
          <w:rFonts w:cs="Courier New" w:ascii="Courier New" w:hAnsi="Courier New"/>
          <w:sz w:val="16"/>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12.</w:t>
        <w:tab/>
        <w:t>BUSINESS SEGMENT INFORMATION</w:t>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As discussed in Note 2, management is in the process of dividing Enron into three fundamental groups of businesses – Core, Non-Core and Under Review.  The following business segment information does not reflect the results of this on-going evaluation.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As discussed in Note 3, the Consolidated Financial Statements included herein have been adjusted to reflect the impacts of the anticipated restatements based on Enron’s current understanding of the relevant facts.  The following business segment information reflects the impact of such adjustments.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business is divided into reporting segments, defined as components of an enterprise about which financial information is available and evaluated regularly by the Office of the Chairman, which serves as the chief operating decision making group. </w:t>
      </w:r>
    </w:p>
    <w:p>
      <w:pPr>
        <w:pStyle w:val="BodyText"/>
        <w:spacing w:before="0" w:after="0"/>
        <w:rPr>
          <w:rFonts w:ascii="Courier New" w:hAnsi="Courier New" w:cs="Courier New"/>
          <w:sz w:val="18"/>
        </w:rPr>
      </w:pPr>
      <w:r>
        <w:rPr>
          <w:rFonts w:cs="Courier New" w:ascii="Courier New" w:hAnsi="Courier New"/>
          <w:sz w:val="18"/>
        </w:rPr>
      </w:r>
      <w:r>
        <w:br w:type="page"/>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August 2001, after Jeff Skilling resigned from his position as CEO, Ken Lay, Chairman of the Board, assumed the additional responsibilities of CEO.  In addition, Greg Whalley and Mark Frevert were promoted to president and chief operating officer and vice chairman, respectively, and joined Mr. Lay in the Office of the Chairman.  The Office of the Chairman serves as Enron’s chief operating decision maker in allocating resources to and assessing the performance of its business units.  In connection with these events, Enron reorganized the manner in which its business units report to the Office of the Chairman.  Enron’s new reporting segments are Wholesale – Americas, Wholesale – Europe and Other Commodity Markets, Retail Services, Natural Gas Pipelines, Portland General, Global Assets, Broadband Services and Corporate and Other. Year 2000 results in the following table have been restated to reflect this change. </w:t>
      </w:r>
    </w:p>
    <w:p>
      <w:pPr>
        <w:pStyle w:val="BodyText"/>
        <w:spacing w:before="0" w:after="0"/>
        <w:rPr>
          <w:rFonts w:ascii="Courier New" w:hAnsi="Courier New" w:cs="Courier New"/>
          <w:sz w:val="18"/>
        </w:rPr>
      </w:pPr>
      <w:r>
        <w:rPr>
          <w:rFonts w:cs="Courier New" w:ascii="Courier New" w:hAnsi="Courier New"/>
          <w:sz w:val="18"/>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beginning in 2001, the commodity-related risk management activities of Retail Services’ North American customer contracts were transferred to the Americas segment, consolidating all North American energy commodity risk management activities within one segment. In 2001, Retail Services’ business includes origination of new commodity and energy asset management and services contracts, execution of energy asset management and services activity and management of customer relationships. Year 2000 results in the following tables have been updated to reflect this change.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r>
        <w:br w:type="page"/>
      </w:r>
    </w:p>
    <w:p>
      <w:pPr>
        <w:pStyle w:val="BodyText"/>
        <w:numPr>
          <w:ilvl w:val="0"/>
          <w:numId w:val="0"/>
        </w:numPr>
        <w:tabs>
          <w:tab w:val="clear" w:pos="720"/>
          <w:tab w:val="left" w:pos="540" w:leader="none"/>
        </w:tabs>
        <w:spacing w:before="0" w:after="0"/>
        <w:rPr>
          <w:rFonts w:ascii="Courier New" w:hAnsi="Courier New" w:cs="Courier New"/>
          <w:sz w:val="18"/>
        </w:rPr>
      </w:pPr>
      <w:r>
        <w:rPr>
          <w:rFonts w:cs="Courier New" w:ascii="Courier New" w:hAnsi="Courier New"/>
          <w:sz w:val="18"/>
        </w:rPr>
      </w:r>
    </w:p>
    <w:p>
      <w:pPr>
        <w:sectPr>
          <w:headerReference w:type="default" r:id="rId26"/>
          <w:headerReference w:type="first" r:id="rId27"/>
          <w:footerReference w:type="default" r:id="rId28"/>
          <w:footerReference w:type="first" r:id="rId29"/>
          <w:type w:val="nextPage"/>
          <w:pgSz w:w="12240" w:h="15840"/>
          <w:pgMar w:left="1440" w:right="1440" w:gutter="0" w:header="720" w:top="776" w:footer="720" w:bottom="1152"/>
          <w:pgNumType w:fmt="decimal"/>
          <w:formProt w:val="false"/>
          <w:textDirection w:val="lrTb"/>
          <w:docGrid w:type="default" w:linePitch="360" w:charSpace="0"/>
        </w:sectPr>
      </w:pP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$29,164</w:t>
        <w:tab/>
        <w:t>$16,401</w:t>
        <w:tab/>
        <w:t>$  504</w:t>
        <w:tab/>
        <w:t>$ 135</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371</w:t>
        <w:tab/>
        <w:t>7</w:t>
        <w:tab/>
        <w:t>(3)</w:t>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$29,535</w:t>
        <w:tab/>
        <w:t>$16,408</w:t>
        <w:tab/>
        <w:t>$  501</w:t>
        <w:tab/>
        <w:t>$ 138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717</w:t>
        <w:tab/>
        <w:t>$   (21)</w:t>
        <w:tab/>
        <w:t>$   13</w:t>
        <w:tab/>
        <w:t>$  85</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$84,632</w:t>
        <w:tab/>
        <w:t>$49,023</w:t>
        <w:tab/>
        <w:t>$1,691</w:t>
        <w:tab/>
        <w:t>$ 530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1,249</w:t>
        <w:tab/>
        <w:t>(555)</w:t>
        <w:tab/>
        <w:t>46</w:t>
        <w:tab/>
        <w:t>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$85,881</w:t>
        <w:tab/>
        <w:t>$48,468</w:t>
        <w:tab/>
        <w:t>$1,737</w:t>
        <w:tab/>
        <w:t>$ 534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$ 1,960</w:t>
        <w:tab/>
        <w:t>$   235</w:t>
        <w:tab/>
        <w:t>$   99</w:t>
        <w:tab/>
        <w:t>$ 295</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894</w:t>
        <w:tab/>
        <w:t>$  422</w:t>
        <w:tab/>
        <w:t>$ (125)</w:t>
        <w:tab/>
        <w:t>$  66</w:t>
        <w:tab/>
        <w:t>$ 47,461</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w:t>
        <w:tab/>
        <w:t>2</w:t>
        <w:tab/>
        <w:t>-</w:t>
        <w:tab/>
        <w:t>(391)</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905</w:t>
        <w:tab/>
        <w:t>$  424</w:t>
        <w:tab/>
        <w:t>$ (125)</w:t>
        <w:tab/>
        <w:t>$(325)</w:t>
        <w:tab/>
        <w:t>$ 47,461</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(17)</w:t>
        <w:tab/>
        <w:t>$ (268)</w:t>
        <w:tab/>
        <w:t>$ (357)</w:t>
        <w:tab/>
        <w:t>$(842)</w:t>
        <w:tab/>
        <w:t>$  (690)</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$2,367</w:t>
        <w:tab/>
        <w:t>$1,131</w:t>
        <w:tab/>
        <w:t>$  (25)</w:t>
        <w:tab/>
        <w:t>$ 142</w:t>
        <w:tab/>
        <w:t>$139,491</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136</w:t>
        <w:tab/>
        <w:t>3</w:t>
        <w:tab/>
        <w:t>(1)</w:t>
        <w:tab/>
        <w:t>(882)</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$2,503</w:t>
        <w:tab/>
        <w:t>$1,134</w:t>
        <w:tab/>
        <w:t>$  (26)</w:t>
        <w:tab/>
        <w:t>$(740)</w:t>
        <w:tab/>
        <w:t>$139,491</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108</w:t>
        <w:tab/>
        <w:t>$ (275)</w:t>
        <w:tab/>
        <w:t>$(494)</w:t>
        <w:tab/>
        <w:t>$(971)</w:t>
        <w:tab/>
        <w:t>$    957</w:t>
      </w:r>
      <w:r>
        <w:br w:type="page"/>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$20,567</w:t>
        <w:tab/>
        <w:t>$ 7,566</w:t>
        <w:tab/>
        <w:t>$  321</w:t>
        <w:tab/>
        <w:t>$ 130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548</w:t>
        <w:tab/>
        <w:t>(407)</w:t>
        <w:tab/>
        <w:t>21</w:t>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$21,115</w:t>
        <w:tab/>
        <w:t>$ 7,159</w:t>
        <w:tab/>
        <w:t>$  342</w:t>
        <w:tab/>
        <w:t>$ 133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549</w:t>
        <w:tab/>
        <w:t>$   53</w:t>
        <w:tab/>
        <w:t>$   27</w:t>
        <w:tab/>
        <w:t>$  83</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$39,871</w:t>
        <w:tab/>
        <w:t>$15,578</w:t>
        <w:tab/>
        <w:t>$1,017</w:t>
        <w:tab/>
        <w:t>$ 503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764</w:t>
        <w:tab/>
        <w:t>(416)</w:t>
        <w:tab/>
        <w:t>59</w:t>
        <w:tab/>
        <w:t>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$40,635</w:t>
        <w:tab/>
        <w:t>$15,162</w:t>
        <w:tab/>
        <w:t>$1,076</w:t>
        <w:tab/>
        <w:t>$ 511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$ 1,009</w:t>
        <w:tab/>
        <w:t>$   265</w:t>
        <w:tab/>
        <w:t>$   79</w:t>
        <w:tab/>
        <w:t>$ 289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663</w:t>
        <w:tab/>
        <w:t>$  394</w:t>
        <w:tab/>
        <w:t>$ 162</w:t>
        <w:tab/>
        <w:t>$  31</w:t>
        <w:tab/>
        <w:t>$29,834</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66</w:t>
        <w:tab/>
        <w:t>14</w:t>
        <w:tab/>
        <w:t>-</w:t>
        <w:tab/>
        <w:t>(245)</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729</w:t>
        <w:tab/>
        <w:t>$  408</w:t>
        <w:tab/>
        <w:t>$ 162</w:t>
        <w:tab/>
        <w:t>$(214)</w:t>
        <w:tab/>
        <w:t>$29,834</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74</w:t>
        <w:tab/>
        <w:t>$   19</w:t>
        <w:tab/>
        <w:t>$ (20)</w:t>
        <w:tab/>
        <w:t>$(106)</w:t>
        <w:tab/>
        <w:t>$  679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$1,442</w:t>
        <w:tab/>
        <w:t>$1,136</w:t>
        <w:tab/>
        <w:t>$ 335</w:t>
        <w:tab/>
        <w:t>$   5</w:t>
        <w:tab/>
        <w:t>$59,887</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115</w:t>
        <w:tab/>
        <w:t>14</w:t>
        <w:tab/>
        <w:t>-</w:t>
        <w:tab/>
        <w:t>(544)</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$1,557</w:t>
        <w:tab/>
        <w:t>$1,150</w:t>
        <w:tab/>
        <w:t>$ 335</w:t>
        <w:tab/>
        <w:t>$(539)</w:t>
        <w:tab/>
        <w:t>$59,887</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241</w:t>
        <w:tab/>
        <w:t>$  117</w:t>
        <w:tab/>
        <w:t>$ (38)</w:t>
        <w:tab/>
        <w:t>$(154)</w:t>
        <w:tab/>
        <w:t>$ 1,808</w:t>
      </w:r>
    </w:p>
    <w:p>
      <w:pPr>
        <w:pStyle w:val="BodyTextIndent"/>
        <w:tabs>
          <w:tab w:val="left" w:pos="540" w:leader="none"/>
          <w:tab w:val="left" w:pos="720" w:leader="none"/>
        </w:tabs>
        <w:rPr/>
      </w:pPr>
      <w:r>
        <w:rPr/>
        <w:t>(a)</w:t>
        <w:tab/>
        <w:t>Unaffiliated revenues include sales to unconsolidated affiliates.</w:t>
      </w:r>
    </w:p>
    <w:p>
      <w:pPr>
        <w:pStyle w:val="BodyTextIndent"/>
        <w:numPr>
          <w:ilvl w:val="0"/>
          <w:numId w:val="5"/>
        </w:numPr>
        <w:tabs>
          <w:tab w:val="left" w:pos="540" w:leader="none"/>
          <w:tab w:val="left" w:pos="720" w:leader="none"/>
        </w:tabs>
        <w:rPr/>
      </w:pPr>
      <w:r>
        <w:rPr/>
        <w:t>Intersegment sales are made at prices comparable to those received from unaffiliated customers and in some instances are affected by regulatory considerations.</w:t>
      </w:r>
    </w:p>
    <w:p>
      <w:pPr>
        <w:pStyle w:val="BodyTextIndent"/>
        <w:numPr>
          <w:ilvl w:val="0"/>
          <w:numId w:val="5"/>
        </w:numPr>
        <w:tabs>
          <w:tab w:val="left" w:pos="540" w:leader="none"/>
          <w:tab w:val="left" w:pos="720" w:leader="none"/>
        </w:tabs>
        <w:rPr/>
      </w:pPr>
      <w:r>
        <w:rPr/>
        <w:t>The 2000 amounts have been changed to reflect the new segment presentation.  [In the prior year, Retail Services reported revenues and IBIT of $1,476 million and $30 million, respectively, for the third quarter of 2000.  Updated full year 2000 revenues and IBIT were $1,766 million and $173 million, respectively.]  Operating results in 2001 include servicing charges from Americas for management of Retail Services’ risk management activities.  These servicing charges are reflective of the applicable level of risk management services provided and have been presented on a basis consistent with how such charges are reported internally.</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Includes consolidating eliminations.</w:t>
      </w:r>
    </w:p>
    <w:p>
      <w:pPr>
        <w:pStyle w:val="Normal"/>
        <w:numPr>
          <w:ilvl w:val="0"/>
          <w:numId w:val="5"/>
        </w:numPr>
        <w:tabs>
          <w:tab w:val="left" w:pos="720" w:leader="none"/>
        </w:tabs>
        <w:rPr>
          <w:rFonts w:ascii="Courier New" w:hAnsi="Courier New" w:cs="Courier New"/>
          <w:sz w:val="16"/>
        </w:rPr>
      </w:pPr>
      <w:r>
        <w:rPr>
          <w:rFonts w:cs="Courier New" w:ascii="Courier New" w:hAnsi="Courier New"/>
          <w:sz w:val="16"/>
        </w:rPr>
        <w:t>Restated (see Note 3).</w:t>
      </w:r>
    </w:p>
    <w:p>
      <w:pPr>
        <w:sectPr>
          <w:type w:val="continuous"/>
          <w:pgSz w:w="12240" w:h="15840"/>
          <w:pgMar w:left="720" w:right="1152" w:gutter="0" w:header="720" w:top="776" w:footer="720" w:bottom="1152"/>
          <w:formProt w:val="false"/>
          <w:textDirection w:val="lrTb"/>
          <w:docGrid w:type="default" w:linePitch="360" w:charSpace="0"/>
        </w:sectPr>
      </w:pP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Total assets by segment are as follows (in millions):</w:t>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ab/>
        <w:t>September 30,</w:t>
        <w:tab/>
        <w:t>December 31,</w:t>
      </w:r>
    </w:p>
    <w:p>
      <w:pPr>
        <w:pStyle w:val="Header"/>
        <w:tabs>
          <w:tab w:val="clear" w:pos="4320"/>
          <w:tab w:val="clear" w:pos="8640"/>
          <w:tab w:val="left" w:pos="540" w:leader="none"/>
          <w:tab w:val="left" w:pos="5040" w:leader="none"/>
          <w:tab w:val="center" w:pos="5850" w:leader="none"/>
          <w:tab w:val="center" w:pos="7560" w:leader="none"/>
          <w:tab w:val="left" w:pos="8280" w:leader="none"/>
        </w:tabs>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Americas</w:t>
        <w:tab/>
        <w:t>$25,956</w:t>
        <w:tab/>
        <w:t>$30,942</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Europe and Other Commodity Markets</w:t>
        <w:tab/>
        <w:t>14,756</w:t>
        <w:tab/>
        <w:t>11,820</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Retail Energy Services</w:t>
        <w:tab/>
        <w:t>1,476</w:t>
        <w:tab/>
        <w:t>1,205</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Natural Gas Pipelines</w:t>
        <w:tab/>
        <w:t>3,457</w:t>
        <w:tab/>
        <w:t>3,527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Portland General</w:t>
        <w:tab/>
        <w:t>4,254</w:t>
        <w:tab/>
        <w:t>4,773</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Global Assets</w:t>
        <w:tab/>
        <w:t>7,593</w:t>
        <w:tab/>
        <w:t>7,587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Broadband Services</w:t>
        <w:tab/>
        <w:t>1,277</w:t>
        <w:tab/>
        <w:t>1,338</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2,217</w:t>
        <w:tab/>
        <w:t>3,734</w:t>
      </w:r>
    </w:p>
    <w:p>
      <w:pPr>
        <w:pStyle w:val="Header"/>
        <w:tabs>
          <w:tab w:val="clear" w:pos="4320"/>
          <w:tab w:val="clear" w:pos="8640"/>
          <w:tab w:val="left" w:pos="540" w:leader="none"/>
          <w:tab w:val="decimal" w:pos="6120" w:leader="none"/>
          <w:tab w:val="decimal" w:pos="7920" w:leader="none"/>
        </w:tabs>
        <w:rPr/>
      </w:pPr>
      <w:r>
        <w:rPr>
          <w:rFonts w:cs="Courier New" w:ascii="Courier New" w:hAnsi="Courier New"/>
        </w:rPr>
        <w:tab/>
        <w:t>Total Assets</w:t>
        <w:tab/>
      </w:r>
      <w:r>
        <w:rPr>
          <w:rFonts w:cs="Courier New" w:ascii="Courier New" w:hAnsi="Courier New"/>
          <w:u w:val="double"/>
        </w:rPr>
        <w:t>$60,986</w:t>
        <w:tab/>
        <w:t>$64,926</w:t>
      </w:r>
    </w:p>
    <w:p>
      <w:pPr>
        <w:pStyle w:val="Header"/>
        <w:tabs>
          <w:tab w:val="clear" w:pos="4320"/>
          <w:tab w:val="clear" w:pos="8640"/>
          <w:tab w:val="left" w:pos="540" w:leader="none"/>
          <w:tab w:val="decimal" w:pos="6120" w:leader="none"/>
          <w:tab w:val="decimal" w:pos="7920" w:leader="none"/>
        </w:tabs>
        <w:rPr>
          <w:rFonts w:ascii="Courier New" w:hAnsi="Courier New" w:cs="Courier New"/>
          <w:u w:val="double"/>
        </w:rPr>
      </w:pPr>
      <w:r>
        <w:rPr>
          <w:rFonts w:cs="Courier New" w:ascii="Courier New" w:hAnsi="Courier New"/>
          <w:u w:val="double"/>
        </w:rPr>
      </w:r>
    </w:p>
    <w:p>
      <w:pPr>
        <w:pStyle w:val="Header"/>
        <w:tabs>
          <w:tab w:val="clear" w:pos="4320"/>
          <w:tab w:val="clear" w:pos="8640"/>
          <w:tab w:val="left" w:pos="360" w:leader="none"/>
        </w:tabs>
        <w:rPr>
          <w:rFonts w:ascii="Courier New" w:hAnsi="Courier New" w:cs="Courier New"/>
          <w:sz w:val="16"/>
        </w:rPr>
      </w:pPr>
      <w:r>
        <w:rPr>
          <w:rFonts w:cs="Courier New" w:ascii="Courier New" w:hAnsi="Courier New"/>
          <w:sz w:val="16"/>
        </w:rPr>
        <w:t>(a)</w:t>
        <w:tab/>
        <w:t>Restated (see Note 3).</w:t>
      </w:r>
    </w:p>
    <w:p>
      <w:pPr>
        <w:pStyle w:val="Header"/>
        <w:tabs>
          <w:tab w:val="clear" w:pos="4320"/>
          <w:tab w:val="clear" w:pos="8640"/>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decrease in assets of the Americas segment is primarily related to the decline in per unit commodity prices and the sale of five peaking power plants.  The increase in assets of the Europe and Other Commodity Markets segment is due to the growth of the segment’s commodity business.  [The decrease in assets of the Corporate and Other segments is primarily related to the acquisition of the Raptor SPEs (see Notes 3 and 4)].</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13.</w:t>
        <w:tab/>
        <w:t>Derivative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On January 1, 2001, Enron recognized an after-tax non-cash gain of $19 million in earnings and deferred an after-tax non-cash gain of $25 million in "Accumulated Other Comprehensive Income" (OCI), a component of shareholders’ equity, and reclassified $277 million from "Long-Term Debt" to "Price Risk Management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as described in the following paragraphs.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ordinary course of business, Enron enters into derivative instruments, as defined in SFAS No. 133, as part of its normal risk management operations, which are subject to parameters established by Enron’s Board of Directors. The adoption of SFAS No. 133 has no impact on the way Enron accounts for its risk management business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a much more limited basis, Enron’s other businesses enter into derivative instruments, such as forwards, swaps and other contracts, to hedge certain non-trading risks, including interest rate risk, commodity price risk and foreign currency exchange rate risk.  Enron primarily uses cash flow hedges, for which Enron’s objective is to provide protection against variability in cash flows due to an associated variable risk.  Enron accounts for such hedging activity by initially deferring the gain or loss related to the fair value changes in derivative instruments in OCI.  The deferred change in fair value is then reclassified into income concurrently with the recognition in income of the cash flow item hedged.  The net after-tax amount expected to be reclassified from OCI within the next 12 months is approximately $5 million.  Enron recognized a loss of approximately $13 million related to ineffectiveness in cash flow hedges.  Enron has also entered into a limited number of fair value hedges to protect the fair value of certain liabilities from variability caused by fluctuations in either interest rates or foreign currency exchange rates.  Enron accounts for these hedges by recognizing the fair value of both the derivative instrument and the hedged item into income concurrently.  There was no material ineffectiveness in fair value hedges during the first nine months of 2001.  Certain of Enron’s unconsolidated affiliates entered into net investment hedges to protect against the foreign currency exposure related to foreign operations.  Enron recorded an increase of approximately $15 million in OCI related to such hedges in 2001.  Enron also holds a limited number of derivative instruments in its non-risk management businesses, which do not meet the requirements of SFAS No. 133 for hedge accounting, but provide Enron with an economic hedge of an associated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maximum amount of time over which cash flow exposure in forecasted transactions is hedged, excluding hedges of variable interest rate risk on existing financial instruments, is approximately 20 years. Derivative contracts are entered into with counterparties who are equivalent to investment grade. Accordingly, Enron does not anticipate any material impact to its financial position or results of operations as a result of nonperformance by the third parties on derivative instruments related to non-risk management business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August 2001, the OPUC issued a general rate order that, among other things, excluded all SFAS No. 133 mark-to-market valuations for determining net variable power costs in setting PGE base rates.  This action was further supported by an accounting order issued by the OPUC in June 2001 directing deferral as a regulatory asset or liability under SFAS 71 the effects of SFAS 133 mark-to-market on contracts subject to regulation.  As a result, subsequent to August 2000, PGE began recording a regulatory asset or regulatory liability pursuant to SFAS 71 to fully offset the net effects of unrealized gains and losses in earnings and OCI.</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PGE’s net after-tax amount expected to be reclassified from OCI and to be fully offset by recording a regulatory asset or regulatory liability within the next 12 months is approximately $5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bCs/>
        </w:rPr>
      </w:pPr>
      <w:r>
        <w:rPr>
          <w:rFonts w:cs="Courier New" w:ascii="Courier New" w:hAnsi="Courier New"/>
          <w:b/>
          <w:bCs/>
        </w:rPr>
        <w:t>14.</w:t>
        <w:tab/>
        <w:t>NEW ACCOUNTING PRONOUNCEMENTS</w:t>
      </w:r>
    </w:p>
    <w:p>
      <w:pPr>
        <w:pStyle w:val="Normal"/>
        <w:tabs>
          <w:tab w:val="clear" w:pos="720"/>
          <w:tab w:val="left" w:pos="540" w:leader="none"/>
        </w:tabs>
        <w:rPr>
          <w:rFonts w:ascii="Courier New" w:hAnsi="Courier New" w:cs="Courier New"/>
          <w:b/>
          <w:bCs/>
        </w:rPr>
      </w:pPr>
      <w:r>
        <w:rPr>
          <w:rFonts w:cs="Courier New" w:ascii="Courier New" w:hAnsi="Courier New"/>
          <w:b/>
          <w:bC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1152"/>
          <w:formProt w:val="false"/>
          <w:textDirection w:val="lrTb"/>
          <w:docGrid w:type="default" w:linePitch="360" w:charSpace="0"/>
        </w:sectPr>
      </w:pP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Under SFAS No. 142, entities are required to determine the useful life of other intangible assets and amortize the value over the useful life. If the useful life is determined to be indefinite no amortization will be recorded. For intangible assets recognized prior to the adoption of SFAS No. 142, the useful life should be reassessed. Other intangible assets are required to be tested for impairment in a manner similar to goodwill. At September 30, 2001, Enron’s goodwill related to consolidated entities was approximately $3.5 billion. Estimated annual amortization of such goodwill is approximately $100 million. Enron is in the process of evaluating the application of SFAS No. 142 in light of recent events discussed in Note 2.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p>
    <w:p>
      <w:pPr>
        <w:sectPr>
          <w:headerReference w:type="default" r:id="rId30"/>
          <w:footerReference w:type="default" r:id="rId31"/>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caps/>
        </w:rPr>
      </w:pPr>
      <w:r>
        <w:rPr>
          <w:rFonts w:cs="Courier New" w:ascii="Courier New" w:hAnsi="Courier New"/>
          <w:caps/>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rPr>
          <w:rFonts w:ascii="Courier New" w:hAnsi="Courier New" w:cs="Courier New"/>
          <w:b/>
          <w:sz w:val="22"/>
        </w:rPr>
      </w:pPr>
      <w:r>
        <w:rPr>
          <w:rFonts w:cs="Courier New" w:ascii="Courier New" w:hAnsi="Courier New"/>
          <w:b/>
          <w:sz w:val="22"/>
        </w:rPr>
      </w:r>
    </w:p>
    <w:p>
      <w:pPr>
        <w:pStyle w:val="Footer"/>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jc w:val="start"/>
        <w:rPr>
          <w:rFonts w:ascii="Courier New" w:hAnsi="Courier New" w:cs="Courier New"/>
          <w:sz w:val="20"/>
        </w:rPr>
      </w:pPr>
      <w:r>
        <w:rPr>
          <w:rFonts w:cs="Courier New" w:ascii="Courier New" w:hAnsi="Courier New"/>
          <w:sz w:val="20"/>
        </w:rPr>
        <w:t>EXPLANATORY NOTE</w:t>
      </w:r>
    </w:p>
    <w:p>
      <w:pPr>
        <w:pStyle w:val="Heading"/>
        <w:tabs>
          <w:tab w:val="clear" w:pos="720"/>
          <w:tab w:val="left" w:pos="540" w:leader="none"/>
        </w:tabs>
        <w:spacing w:before="0" w:after="0"/>
        <w:jc w:val="start"/>
        <w:rPr>
          <w:rFonts w:ascii="Courier New" w:hAnsi="Courier New" w:cs="Courier New"/>
          <w:b w:val="false"/>
          <w:sz w:val="20"/>
        </w:rPr>
      </w:pPr>
      <w:r>
        <w:rPr>
          <w:rFonts w:cs="Courier New" w:ascii="Courier New" w:hAnsi="Courier New"/>
          <w:b w:val="false"/>
          <w:sz w:val="20"/>
        </w:rPr>
      </w:r>
    </w:p>
    <w:p>
      <w:pPr>
        <w:pStyle w:val="BodyText2"/>
        <w:tabs>
          <w:tab w:val="clear" w:pos="264"/>
          <w:tab w:val="left" w:pos="540" w:leader="none"/>
        </w:tabs>
        <w:rPr>
          <w:sz w:val="20"/>
        </w:rPr>
      </w:pPr>
      <w:r>
        <w:rPr>
          <w:sz w:val="20"/>
        </w:rPr>
        <w:tab/>
        <w:t>As explained in a November 8, 2001 Form 8-K filed by Enron Corp. (Enron) with the Securities and Exchange Commission (SEC),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to the Consolidated Financial Statements, Enron’s Board of Directors has formed a Special Committee to conduct an independent investigation and review of transactions between Enron and certain related parties.  The Special Committee has retained the law firm of Wilmer, Cutler &amp; Pickering (Wilmer Cutler) as its counsel.  Wilmer, Cutler has retained Deloitte &amp; Touche LLP to provide related accounting advice to the law firm.  The Special Committee began its review on October 26, 2001.  Management believes that, based on information currently available to it, results of operations set forth herein were compiled in accordance with generally accepted accounting principles and fairly depict the financial condition 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their need to complete review procedures and the ongoing Special Committee investigation, Arthur Andersen LLP is unable at this time to finalize its review of 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BodyText2"/>
        <w:tabs>
          <w:tab w:val="left" w:pos="264" w:leader="none"/>
          <w:tab w:val="left" w:pos="540" w:leader="none"/>
        </w:tabs>
        <w:rPr>
          <w:sz w:val="20"/>
        </w:rPr>
      </w:pPr>
      <w:r>
        <w:rPr>
          <w:sz w:val="20"/>
        </w:rPr>
      </w:r>
    </w:p>
    <w:p>
      <w:pPr>
        <w:pStyle w:val="Normal"/>
        <w:rPr>
          <w:rFonts w:ascii="Courier New" w:hAnsi="Courier New" w:cs="Courier New"/>
        </w:rPr>
      </w:pPr>
      <w:r>
        <w:rPr>
          <w:rFonts w:cs="Courier New" w:ascii="Courier New" w:hAnsi="Courier New"/>
          <w:b/>
        </w:rPr>
        <w:t>RECENT EVENTS</w:t>
      </w:r>
    </w:p>
    <w:p>
      <w:pPr>
        <w:pStyle w:val="Normal"/>
        <w:rPr>
          <w:rFonts w:ascii="Courier New" w:hAnsi="Courier New" w:cs="Courier New"/>
        </w:rPr>
      </w:pPr>
      <w:r>
        <w:rPr>
          <w:rFonts w:cs="Courier New" w:ascii="Courier New" w:hAnsi="Courier New"/>
        </w:rPr>
      </w:r>
    </w:p>
    <w:p>
      <w:pPr>
        <w:sectPr>
          <w:headerReference w:type="default" r:id="rId32"/>
          <w:headerReference w:type="first" r:id="rId33"/>
          <w:footerReference w:type="default" r:id="rId34"/>
          <w:footerReference w:type="first" r:id="rId35"/>
          <w:type w:val="nextPage"/>
          <w:pgSz w:w="12240" w:h="15840"/>
          <w:pgMar w:left="1800" w:right="1800" w:gutter="0" w:header="720" w:top="776" w:footer="720" w:bottom="776"/>
          <w:pgNumType w:fmt="decimal"/>
          <w:formProt w:val="false"/>
          <w:textDirection w:val="lrTb"/>
          <w:docGrid w:type="default" w:linePitch="360" w:charSpace="0"/>
        </w:sectPr>
        <w:pStyle w:val="Footer"/>
        <w:tabs>
          <w:tab w:val="clear" w:pos="4320"/>
          <w:tab w:val="clear" w:pos="8640"/>
          <w:tab w:val="left" w:pos="540" w:leader="none"/>
        </w:tabs>
        <w:rPr>
          <w:rFonts w:ascii="Courier New" w:hAnsi="Courier New" w:cs="Courier New"/>
        </w:rPr>
      </w:pPr>
      <w:r>
        <w:rPr>
          <w:rFonts w:cs="Courier New" w:ascii="Courier New" w:hAnsi="Courier New"/>
        </w:rPr>
        <w:tab/>
        <w:t xml:space="preserve">As discussed in Note 2 to the Consolidated Financial Statements, following Enron’s announcement of its third quarter 2001 results on October 16, 2001 there was a significant decrease in Enron’s common share price and subsequent decreases in the long-term credit ratings of Enron’s debt.  This situation resulted in a loss of investor confidence and significantly affected Enron’s ability to raise capital.  As a result of the Dynegy merger agreement and a loss of investor confidence, Enron has initiated an action plan for restructuring its businesses.  The key aspects of the action plan involve (i) concentrating primarily on Enron’s core businesses; (ii) taking aggressive steps to rationalize the existing cost structure; (iii) accelerating the process of divesting non-core businesses and assets; (iv) restructuring scheduled maturities of debt and other obligations; (v) completing the investigation by the Special Committee with respect to related party transactions; (vi) reviewing and strengthening Enron’s corporate governance; and (vii) expanding certain disclosures with a focus on increased transparency.  Management and the Board have not completed nor approved a restructuring plan.  Such restructuring plan is currently being prepared and, therefore, Enron is unable to estimate the final impacts.  Enron’s fourth quarter 2001 results of operations will likely be negatively </w:t>
      </w:r>
    </w:p>
    <w:p>
      <w:pPr>
        <w:pStyle w:val="Footer"/>
        <w:tabs>
          <w:tab w:val="clear" w:pos="4320"/>
          <w:tab w:val="clear" w:pos="8640"/>
          <w:tab w:val="left" w:pos="540" w:leader="none"/>
        </w:tabs>
        <w:rPr>
          <w:rFonts w:ascii="Courier New" w:hAnsi="Courier New" w:cs="Courier New"/>
        </w:rPr>
      </w:pPr>
      <w:r>
        <w:rPr>
          <w:rFonts w:cs="Courier New" w:ascii="Courier New" w:hAnsi="Courier New"/>
        </w:rPr>
        <w:t>impacted by severance costs and other restructuring charges resulting from the repositioning of many of Enron’s businesses.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its cost structure, management is in the process of dividing Enron into three fundamental groups of businesses – Core, Non-Core and Under Review.  For a description of each group of businesses, see Note 2 to the Consolidated Financial Statements.</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tab/>
      </w:r>
      <w:r>
        <w:rPr>
          <w:rFonts w:cs="Courier New" w:ascii="Courier New" w:hAnsi="Courier New"/>
        </w:rPr>
        <w:t xml:space="preserve">The recent deterioration in Enron’s credit rating has caused a negative impact on Enron’s projected 2001 fourth quarter profitability.  This is primarily the result of a reduced level of transaction activity by Enron’s trading counterparties, particularly longer-term transactions.  However, it is too early to determine the exact impact these events will have on Enron’s fourth quarter 2001 operating results.  Additionally, the fourth quarter of 2001 will likely be negatively impacted by severance costs and other restructuring charges resulting from the repositioning of many of Enron’s businesses consistent with the restructuring plan.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6"/>
        <w:ind w:hanging="0" w:start="0"/>
        <w:rPr>
          <w:caps/>
        </w:rPr>
      </w:pPr>
      <w:r>
        <w:rPr>
          <w:caps/>
        </w:rPr>
        <w:t>RESULTS OF OPERATIONS - Third Quarter 2001 vs. Third Quarter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adjusted to reflect the impacts of the restatements discussed in Note 3.  For the impacts on Enron’s Consolidated Financial Statements for the years ended December 31, 1997 through 2000 and for the first and second quarters of 2001, see Note 3.  While the restatement discussed in Note 3 reflects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reports on Forms 10-K for the years ended December 31, 1997 through 2000, or its Quarterly Reports on Forms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third quarter 2001 net income, excluding items impacting comparability, was $356 million compared to $302 million in the third quarter of 2000.  Items impacting comparability are discussed in the respective segment results.  Enron’s business is divided into eight reporting segments.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Americas.</w:t>
      </w:r>
      <w:r>
        <w:rPr>
          <w:rFonts w:cs="Courier New" w:ascii="Courier New" w:hAnsi="Courier New"/>
        </w:rPr>
        <w:t xml:space="preserve">  The Wholesale – Americas segment (Americas) consists of Enron’s gas and power market-making operations and merchant energy activities in North and South America.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Europe and Other Commodity Markets.</w:t>
      </w:r>
      <w:r>
        <w:rPr>
          <w:rFonts w:cs="Courier New" w:ascii="Courier New" w:hAnsi="Courier New"/>
        </w:rPr>
        <w:t xml:space="preserve">  The Wholesale - Europe and Other Commodity Markets segment (Europe and Other) includes Enron’s European gas and power operations and Enron’s other commodity businesses, such as metals, coal, crude and liquids, weather, forest products and steel.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Retail Services</w:t>
      </w:r>
      <w:r>
        <w:rPr>
          <w:rFonts w:cs="Courier New" w:ascii="Courier New" w:hAnsi="Courier New"/>
        </w:rPr>
        <w:t>.  Retail Services is extending Enron’s energy expertise and capabilities to end-use retail customers in the industrial and commercial business sectors to manage their energy requirements and reduce their total energy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Natural Gas Pipelines.</w:t>
      </w:r>
      <w:r>
        <w:rPr>
          <w:rFonts w:cs="Courier New" w:ascii="Courier New" w:hAnsi="Courier New"/>
        </w:rPr>
        <w:t xml:space="preserve">  The Natural Gas Pipelines segment includes Enron’s interstate natural gas pipelines, primarily Northern Natural Gas Company (Northern), Transwestern Pipeline Company (Transwestern), Enron’s 50% interest in Florida Gas Transmission Company (Florida Gas) and Enron’s interests in Northern Border Partners, L.P. and EOTT Energy Partners, L.P. (EOTT).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Portland General.</w:t>
      </w:r>
      <w:r>
        <w:rPr>
          <w:rFonts w:cs="Courier New" w:ascii="Courier New" w:hAnsi="Courier New"/>
        </w:rPr>
        <w:t xml:space="preserve">  This segment consists of Portland General Electric, an electric utility in the northwestern U.S.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s>
        <w:rPr/>
      </w:pPr>
      <w:r>
        <w:rPr>
          <w:rFonts w:cs="Courier New" w:ascii="Courier New" w:hAnsi="Courier New"/>
          <w:i/>
        </w:rPr>
        <w:tab/>
        <w:t>Global Assets.</w:t>
      </w:r>
      <w:r>
        <w:rPr>
          <w:rFonts w:cs="Courier New" w:ascii="Courier New" w:hAnsi="Courier New"/>
        </w:rPr>
        <w:t xml:space="preserve">  The Global Assets segment includes energy-related assets that are not part of Enron’s wholesale or retail energy operations.  Major assets of this segment include Elektro, an electric utility in Brazil; Dabhol, a power plant in India; natural gas pipelines in South America; Enron Renewable Energy Corp. (EREC), which develops and constructs wind-generated power projects; and Enron’s investment in Azurix Corp.  See Note 2 to the Consolidated Financial Statements for a discussion of management’s plans regarding these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Broadband Services</w:t>
      </w:r>
      <w:r>
        <w:rPr>
          <w:rFonts w:cs="Courier New" w:ascii="Courier New" w:hAnsi="Courier New"/>
        </w:rPr>
        <w:t>.  Enron’s broadband services business (Broadband Services) provides customers with broadband services, including network services intermediation.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Corporate and Other.</w:t>
      </w:r>
      <w:r>
        <w:rPr>
          <w:rFonts w:cs="Courier New" w:ascii="Courier New" w:hAnsi="Courier New"/>
        </w:rPr>
        <w:t xml:space="preserve">  Corporate and Other includes the operations of Enron’s methanol and MTBE plants as well as overall corporate activities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Net income includes the following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Net income before items impacting comparability</w:t>
        <w:tab/>
        <w:t>$ 356</w:t>
        <w:tab/>
        <w:t>$ 302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Retail Services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Corporate and Other</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Global Asset - 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r>
      <w:r>
        <w:rPr>
          <w:rFonts w:cs="Courier New" w:ascii="Courier New" w:hAnsi="Courier New"/>
          <w:u w:val="single"/>
        </w:rPr>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$(655)</w:t>
        <w:tab/>
        <w:t>$ 302</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per share of common stock were as follows: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560" w:leader="none"/>
        </w:tabs>
        <w:rPr>
          <w:rFonts w:ascii="Courier New" w:hAnsi="Courier New" w:cs="Courier New"/>
        </w:rPr>
      </w:pPr>
      <w:r>
        <w:rPr>
          <w:rFonts w:cs="Courier New" w:ascii="Courier New" w:hAnsi="Courier New"/>
        </w:rPr>
        <w:t>Basic earnings (loss) per share</w:t>
        <w:tab/>
      </w:r>
      <w:r>
        <w:rPr>
          <w:rFonts w:cs="Courier New" w:ascii="Courier New" w:hAnsi="Courier New"/>
          <w:u w:val="double"/>
        </w:rPr>
        <w:t>$(0.90)</w:t>
        <w:tab/>
        <w:t>$0.39</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Results before items impacting </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 xml:space="preserve"> comparability</w:t>
        <w:tab/>
        <w:t>$ 0.39</w:t>
        <w:tab/>
        <w:t>$ 0.35</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(0.31)</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(0.18)</w:t>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pPr>
      <w:r>
        <w:rPr>
          <w:rFonts w:cs="Courier New" w:ascii="Courier New" w:hAnsi="Courier New"/>
        </w:rPr>
        <w:t>Reported diluted earnings (loss) per share</w:t>
        <w:tab/>
      </w:r>
      <w:r>
        <w:rPr>
          <w:rFonts w:cs="Courier New" w:ascii="Courier New" w:hAnsi="Courier New"/>
          <w:u w:val="double"/>
        </w:rPr>
        <w:t>$(0.90)</w:t>
        <w:tab/>
        <w:t>$0.35</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u w:val="double"/>
        </w:rPr>
      </w:pPr>
      <w:r>
        <w:rPr>
          <w:rFonts w:cs="Courier New" w:ascii="Courier New" w:hAnsi="Courier New"/>
          <w:u w:val="double"/>
        </w:rPr>
      </w:r>
    </w:p>
    <w:p>
      <w:pPr>
        <w:pStyle w:val="Normal"/>
        <w:ind w:hanging="360" w:start="360" w:end="0"/>
        <w:rPr>
          <w:rFonts w:ascii="Courier New" w:hAnsi="Courier New" w:cs="Courier New"/>
          <w:sz w:val="16"/>
        </w:rPr>
      </w:pPr>
      <w:r>
        <w:rPr>
          <w:rFonts w:cs="Courier New" w:ascii="Courier New" w:hAnsi="Courier New"/>
          <w:sz w:val="16"/>
        </w:rPr>
        <w:t>(a)</w:t>
        <w:tab/>
        <w:t>The conversions of preferred shares and equity instruments to common shares for purposes of the diluted earnings per share calculation were anti-dilutive for the third quarter of 2001.  However, in order to present comparable results, per share amounts for each earnings component were calculated after considering conversion.  The total average number of shares used to calculate each component of earnings per share was 913 million.</w:t>
      </w:r>
    </w:p>
    <w:p>
      <w:pPr>
        <w:pStyle w:val="Footer"/>
        <w:tabs>
          <w:tab w:val="clear" w:pos="4320"/>
          <w:tab w:val="clear" w:pos="8640"/>
          <w:tab w:val="left" w:pos="360" w:leader="none"/>
          <w:tab w:val="left" w:pos="720" w:leader="none"/>
          <w:tab w:val="decimal" w:pos="6840" w:leader="none"/>
          <w:tab w:val="decimal" w:pos="8280" w:leader="none"/>
        </w:tabs>
        <w:rPr>
          <w:rFonts w:ascii="Courier New" w:hAnsi="Courier New" w:cs="Courier New"/>
          <w:sz w:val="16"/>
        </w:rPr>
      </w:pPr>
      <w:r>
        <w:rPr>
          <w:rFonts w:cs="Courier New" w:ascii="Courier New" w:hAnsi="Courier New"/>
          <w:sz w:val="16"/>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(loss) before interest, minority interests and income taxes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Americas</w:t>
        <w:tab/>
        <w:t>$ 717</w:t>
        <w:tab/>
        <w:t>$ 549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t>(21)</w:t>
        <w:tab/>
        <w:t>53</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Retail Services</w:t>
        <w:tab/>
        <w:t>71</w:t>
        <w:tab/>
        <w:t>27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85</w:t>
        <w:tab/>
        <w:t>83</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(17)</w:t>
        <w:tab/>
        <w:t>74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19</w:t>
        <w:tab/>
        <w:t>19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(80)</w:t>
        <w:tab/>
        <w:t>(20)</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(59)</w:t>
        <w:tab/>
        <w:t xml:space="preserve"> (106</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b/>
        <w:t>715</w:t>
        <w:tab/>
        <w:t>679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IBIT</w:t>
        <w:tab/>
      </w:r>
      <w:r>
        <w:rPr>
          <w:rFonts w:cs="Courier New" w:ascii="Courier New" w:hAnsi="Courier New"/>
          <w:u w:val="double"/>
        </w:rPr>
        <w:t>$(690)</w:t>
        <w:tab/>
        <w:t>$ 679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Heading2"/>
        <w:tabs>
          <w:tab w:val="clear" w:pos="720"/>
          <w:tab w:val="left" w:pos="540" w:leader="none"/>
        </w:tabs>
        <w:ind w:hanging="0" w:end="0"/>
        <w:rPr/>
      </w:pPr>
      <w:r>
        <w:rPr/>
        <w:t>Wholesale Services Business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Wholesale Services business is comprised of two segments, Americas and Europe and Other (collectively Wholesale Services).  Wholesale Services builds its business through the creation of networks involving selective asset ownership, contractual access to third-party assets and market-making activities.  Each market in which it operates utilizes these components in a slightly different manner and is at a different stage of development.  This network strategy has enabled Enron to establish a leading position in its markets.  Activities may be integrated into a bundled product offering for Enron’s customers.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Wholesale Services manages its portfolio of contracts and assets in order to maximize value, minimize the associated risks and provide overall liquidity.  In doing so, it uses portfolio and risk management disciplines, including offsetting or hedging transactions, to manage exposures to market price movements (commodities, interest rates, foreign currencies and equities).  Additionally, Wholesale Services manages its liquidity and exposure to third-party credit risk through monetization of its contract portfolio or third-party insurance contracts.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Wholesale Services invests in debt and equity securities of energy-related businesses, which may also utilize its products and services.  With these merchant investments, Enron’s influence is much more limited relative to assets developed or constructed.  Earnings from these activities, which are accounted for on a fair value basis and are included in revenues, result from changes in the market value of the securities.  Wholesale Services uses risk management disciplines, including hedging transactions, to manage the impact of market price movements on its merchant investments.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$29,535</w:t>
        <w:tab/>
        <w:t>$21,115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28,550</w:t>
        <w:tab/>
        <w:t>20,390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Gross margin</w:t>
        <w:tab/>
        <w:t>985</w:t>
        <w:tab/>
        <w:t>725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145</w:t>
        <w:tab/>
        <w:t>168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54</w:t>
        <w:tab/>
        <w:t>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(68)</w:t>
        <w:tab/>
        <w:t>43</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Other, net</w:t>
        <w:tab/>
      </w:r>
      <w:r>
        <w:rPr>
          <w:rFonts w:cs="Courier New" w:ascii="Courier New" w:hAnsi="Courier New"/>
          <w:u w:val="single"/>
        </w:rPr>
        <w:t xml:space="preserve">     (1)</w:t>
        <w:tab/>
        <w:t>(29</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717</w:t>
        <w:tab/>
        <w:t>$   549</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26,659</w:t>
        <w:tab/>
        <w:t>25,253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31,507</w:t>
        <w:tab/>
        <w:t xml:space="preserve"> 17,777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58,166</w:t>
        <w:tab/>
        <w:t xml:space="preserve"> 43,030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289,853</w:t>
        <w:tab/>
        <w:t>163,556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247,467</w:t>
        <w:tab/>
        <w:t>163,995</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Americas increased $261 million in the third quarter of 2001 as compared to the third quarter of 2000, primarily as a result of increased earnings from both gas and power marketing operations, partially offset by a decline in the value of merchant investments.  Gas and power marketing operations benefited from price volatility in the third quarter of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$23 million in the third quarter of 2001 as compared to the same period in 2000, primarily as a result of the sale of certain Houston Pipeline Company assets in the second quarter of 2001.  Depreciation and amortization increased $31 million primarily as a result of increased amortization related to intangible assets acquired in the second quarter of 2001 and other assets and depreciation associated with computer-related equipment placed into service in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decreased $111 million in the third quarter of 2001 as compared to the same period of 2000 primarily as a result of the decline in the value of merchant investments held by unconsolidated equity affiliates.  Other, net in the third quarter of 2000 included charges related to losses on transactions in foreign currencies, partially offset by interest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$16,408</w:t>
        <w:tab/>
        <w:t>$7,159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16,174</w:t>
        <w:tab/>
        <w:t>6,900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Gross margin</w:t>
        <w:tab/>
        <w:t>234</w:t>
        <w:tab/>
        <w:t>259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218</w:t>
        <w:tab/>
        <w:t>208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21</w:t>
        <w:tab/>
        <w:t>19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(7)</w:t>
        <w:tab/>
        <w:t>(5)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(9)</w:t>
        <w:tab/>
        <w:t>26</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Income before interest and taxes</w:t>
        <w:tab/>
      </w:r>
      <w:r>
        <w:rPr>
          <w:rFonts w:cs="Courier New" w:ascii="Courier New" w:hAnsi="Courier New"/>
          <w:u w:val="double"/>
        </w:rPr>
        <w:t>$   (21)</w:t>
        <w:tab/>
        <w:t>$    53</w:t>
      </w:r>
    </w:p>
    <w:p>
      <w:pPr>
        <w:pStyle w:val="Normal"/>
        <w:tabs>
          <w:tab w:val="clear" w:pos="720"/>
          <w:tab w:val="left" w:pos="540" w:leader="none"/>
        </w:tabs>
        <w:rPr>
          <w:rFonts w:ascii="Courier New" w:hAnsi="Courier New" w:cs="Courier New"/>
          <w:u w:val="double"/>
        </w:rPr>
      </w:pPr>
      <w:r>
        <w:rPr>
          <w:rFonts w:cs="Courier New" w:ascii="Courier New" w:hAnsi="Courier New"/>
          <w:u w:val="double"/>
        </w:rPr>
      </w:r>
      <w:r>
        <w:br w:type="page"/>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and provides energy commodities as reflected in the following tables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9,338</w:t>
        <w:tab/>
        <w:t>3,595</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11,306</w:t>
        <w:tab/>
        <w:t>1,080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9,410</w:t>
        <w:tab/>
        <w:t>5,754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30,054</w:t>
        <w:tab/>
        <w:t>10,429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104,006</w:t>
        <w:tab/>
        <w:t>9,932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71,930</w:t>
        <w:tab/>
        <w:t>48,179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 (MM Bbl)</w:t>
        <w:tab/>
        <w:t>157</w:t>
        <w:tab/>
        <w:t>105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 (thousand tons)</w:t>
        <w:tab/>
        <w:t>21,770</w:t>
        <w:tab/>
        <w:t>9,942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Weather (notional value $MM)</w:t>
        <w:tab/>
        <w:t>304</w:t>
        <w:tab/>
        <w:t>164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LNG (BBtue)</w:t>
        <w:tab/>
        <w:t>8,874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Metals (thousand tons)</w:t>
        <w:tab/>
        <w:t>2,362</w:t>
        <w:tab/>
        <w:t>969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Forest products (thousand tons)</w:t>
        <w:tab/>
        <w:t>899</w:t>
        <w:tab/>
        <w:t>101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Steel (thousand tons)</w:t>
        <w:tab/>
        <w:t>648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Europe and Other decreased $25 million in the third quarter of 2001 as compared to the third quarter of 2000, primarily as a result of lower earnings from European power marketing operations, an adjustment to reflect an increase in credit reserves in the crude oil and liquids marketing business and the settlement of certain receivables for less than book value subsequent to September 30, 2001 but prior to the filing date of the Form 10-Q, partially offset by increased earnings from the European gas marketing operations and steel, coal and liquids marketing.</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for Europe and Other increased $10 million in the third quarter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ind w:firstLine="90" w:end="0"/>
        <w:rPr>
          <w:rFonts w:ascii="Courier New" w:hAnsi="Courier New" w:cs="Courier New"/>
        </w:rPr>
      </w:pPr>
      <w:r>
        <w:rPr>
          <w:rFonts w:cs="Courier New" w:ascii="Courier New" w:hAnsi="Courier New"/>
        </w:rPr>
        <w:tab/>
        <w:t>Other, net in the third quarter of 2001 included charges related to losses on transactions in foreign currencies partially offset by interest income.  Other, net in the third quarter of 2000 primarily reflected interest income.</w:t>
      </w:r>
    </w:p>
    <w:p>
      <w:pPr>
        <w:pStyle w:val="BodyText"/>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Retail Services sells or manages the delivery of natural gas, electricity, liquids and other commodities to industrial and commercial customers located in North America and Europe.  Retail Services also provides full energy management services.  This integrated product includes the management of commodity delivery, energy information and energy assets, and price risk management activities.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$ 501</w:t>
        <w:tab/>
        <w:t>$ 342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261</w:t>
        <w:tab/>
        <w:t>213</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Gross margin</w:t>
        <w:tab/>
        <w:t>240</w:t>
        <w:tab/>
        <w:t>129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142</w:t>
        <w:tab/>
        <w:t>115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10</w:t>
        <w:tab/>
        <w:t>10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losses of New Power Holdings, Inc.</w:t>
        <w:tab/>
        <w:t>(18)</w:t>
        <w:tab/>
        <w:t>(15)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38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71</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on investment in New Power Holdings,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 xml:space="preserve"> Inc.</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13</w:t>
        <w:tab/>
        <w:t>$  27</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decreased $33 million in the third quarter of 2001 compared to the third quarter of 2000 primarily as a result of lower retail gas sales partially offset by an increase in long-term energy contracts and the monetization of interests in a merchant asset for a gain of $21 million.  Gross margin increased $109 million in the third quarter of 2001 compared to the third quarter of 2000 due to long-term energy contracts originated in 2001 and gains associated with the ServiceCo interest monetization.  Operating expenses increased $27 million primarily as a result of risk management support service expenses in 2001 and higher IT-related expenditures.  Equity losses for both periods reflect Retail Services’ portion of losses of New Power Holdings, Inc. (NPW), formerly The New Power Company.  Other, net in the third quarter of 2000 consisted primarily of gains associated with Retail Services’ monetization of a portion of its interest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spacing w:before="0" w:after="0"/>
        <w:rPr>
          <w:rFonts w:ascii="Courier New" w:hAnsi="Courier New" w:cs="Courier New"/>
          <w:b/>
        </w:rPr>
      </w:pPr>
      <w:r>
        <w:rPr>
          <w:rFonts w:cs="Courier New" w:ascii="Courier New" w:hAnsi="Courier New"/>
          <w:b/>
        </w:rPr>
        <w:t>Item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write-off of its remaining equity investment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2,770</w:t>
        <w:tab/>
        <w:t>3,009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1,823</w:t>
        <w:tab/>
        <w:t>1,746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1,927</w:t>
        <w:tab/>
        <w:t>1,649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2,295</w:t>
        <w:tab/>
        <w:t>2,420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Net revenues</w:t>
        <w:tab/>
        <w:t>$ 136</w:t>
        <w:tab/>
        <w:t>$ 132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74</w:t>
        <w:tab/>
        <w:t>74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17</w:t>
        <w:tab/>
        <w:t>17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18</w:t>
        <w:tab/>
        <w:t>28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22</w:t>
        <w:tab/>
        <w:t>14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85</w:t>
        <w:tab/>
        <w:t>$  83</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Revenues, net of cost of sales (net revenues) of Natural Gas Pipelines increased $4 million in the third quarter of 2001 compared to the third quarter of 2000 primarily due to higher transportation rates and volumes at Transwestern.  Equity in earnings decreased $9 million in the third quarter of 2001 as compared to the same period in 2000 primarily due to lower operating results from Florida Gas and the monetization of Enron’s investment in EOTT.  In 2001, other, net consisted primarily of a $10 million gain on the monetization of EOTT partnership units,</w:t>
      </w:r>
      <w:r>
        <w:rPr>
          <w:rFonts w:cs="Courier New" w:ascii="Courier New" w:hAnsi="Courier New"/>
          <w:b/>
        </w:rPr>
        <w:t xml:space="preserve"> </w:t>
      </w:r>
      <w:r>
        <w:rPr>
          <w:rFonts w:cs="Courier New" w:ascii="Courier New" w:hAnsi="Courier New"/>
        </w:rPr>
        <w:t>and an accrual adjustment related to the expiration of an Enron guarantee to fund the EOTT partnership.  Other, net for the third quarter of 2000 included a gain related to the sale of compressor-related equipment.</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Portland General</w:t>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for the third quarter of 2001 and 2000 are as follows: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1,432</w:t>
        <w:tab/>
        <w:t>1,444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1,870</w:t>
        <w:tab/>
        <w:t>1,964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1,207</w:t>
        <w:tab/>
        <w:t xml:space="preserve"> 1,249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4,509</w:t>
        <w:tab/>
        <w:t>4,657</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4,062</w:t>
        <w:tab/>
        <w:t>5,703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8,571</w:t>
        <w:tab/>
        <w:t>10,360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9.51</w:t>
        <w:tab/>
        <w:t>6.89</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16%</w:t>
        <w:tab/>
        <w:t>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16</w:t>
        <w:tab/>
        <w:t>14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4</w:t>
        <w:tab/>
        <w:t xml:space="preserve">  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36</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58</w:t>
        <w:tab/>
        <w:t>63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10</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119.3</w:t>
        <w:tab/>
        <w:t>48.8</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729</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Portland General’s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$ 905</w:t>
        <w:tab/>
        <w:t>$ 729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Purchased power and fuel</w:t>
        <w:tab/>
        <w:t>822</w:t>
        <w:tab/>
        <w:t>522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68</w:t>
        <w:tab/>
        <w:t>85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32</w:t>
        <w:tab/>
        <w:t>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tab/>
        <w:t>11</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(17)</w:t>
        <w:tab/>
        <w:t>$  74</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net of purchased power and fuel costs, decreased $125 million in the third quarter of 2001 compared to the third quarter of 2000.  The decrease was due to increased power costs resulting from general market conditions, including lower hydroelectric generation.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Third quarter 2001 other, net included the impact of a decline in the value of investments.  Other, net in 2000 consisted primarily of a gain on the sale of a generation-related asset.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On October 8, 2001, Enron entered into an agreement with Northwest Natural Gas Company (NW Natural) for the sale of Portland General for $1.875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 currently believes that the after-tax gain on the sale of Portland General will not be material.  However, certain regulatory and other contingencies could negatively impact Enron’s current estimate.  Enron’s carrying amount of Portland General as of September 30, 2001 was $1.6 billion.  Income before interest, minority interest and income taxes for Portland General was $108 million and $241 million for the nine month periods ended September 30, 2001 and 2000, respectively.</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$ 424</w:t>
        <w:tab/>
        <w:t>$ 408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286</w:t>
        <w:tab/>
        <w:t>244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107</w:t>
        <w:tab/>
        <w:t>126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46</w:t>
        <w:tab/>
        <w:t>50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24</w:t>
        <w:tab/>
        <w:t>22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10</w:t>
        <w:tab/>
        <w:t>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19</w:t>
        <w:tab/>
        <w:t>19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Asset 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taxes</w:t>
        <w:tab/>
      </w:r>
      <w:r>
        <w:rPr>
          <w:rFonts w:cs="Courier New" w:ascii="Courier New" w:hAnsi="Courier New"/>
          <w:u w:val="double"/>
        </w:rPr>
        <w:t>$(268)</w:t>
        <w:tab/>
        <w:t>$  19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increased $16 million in the third quarter of 2001 compared to the third quarter of 2000 due to an increase in project revenues at EREC, partially offset by a decrease in revenues from Elektro which had curtailed power sales due to the reduction in available hydro-generated power.  Cost of sales increased $42 million in the third quarter of 2001 compared to the third quarter of 2000 due to an increase in costs at EREC, partially offset by a decrease in costs at Elektro.  Operating expenses, including depreciation, decreased due to reduced developmental activities partially offset by higher costs in EREC’s European operations.  </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In the third quarter of 2001, Global Assets recognized a loss of $287 million related to asset impairments by Atlantic Water Trust (the parent of Azurix Corp.), an equity method investment. These impairments primarily reflect Azurix’s planned disposition of its North American and certain South American service-related businesses.  See Note 8 to the Consolidated Financial Statements for a discussion of Atlantic Water Trust.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end="0"/>
        <w:rPr/>
      </w:pPr>
      <w:r>
        <w:rPr/>
        <w:t>Broadband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network services intermediation business allows customers to manage unexpected fluctuation in the price, supply and demand of network-related requirements, including bandwidth and storage.  The Enron Intelligent Network (the EIN), a nationwide fiber optic network, which connects 25 pooling points in North America, Europe and Japan, provides the infrastructure for Broadband Services’ products.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significantly modified the cost structure of Broadband Services to correspond to slower market development and the associated lower revenue outlook.  Enron expects losses to continue through at least 2001 in the Broadband Services segment.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5</w:t>
        <w:tab/>
        <w:t>$ 162</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Cost of sales</w:t>
        <w:tab/>
      </w:r>
      <w:r>
        <w:rPr>
          <w:rFonts w:cs="Courier New" w:ascii="Courier New" w:hAnsi="Courier New"/>
          <w:u w:val="single"/>
        </w:rPr>
        <w:t xml:space="preserve">    8</w:t>
        <w:tab/>
        <w:t>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Gross margin</w:t>
        <w:tab/>
        <w:t>(3)</w:t>
        <w:tab/>
        <w:t>153</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58</w:t>
        <w:tab/>
        <w:t>123</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19</w:t>
        <w:tab/>
        <w:t>52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4</w:t>
        <w:tab/>
        <w:t>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Loss before items impacting comparability</w:t>
        <w:tab/>
        <w:t>(80)</w:t>
        <w:tab/>
        <w:t>(20)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Content Services business</w:t>
        <w:tab/>
        <w:t>(160)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Charge to reflect impairments</w:t>
        <w:tab/>
        <w:t>(34)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Severance and restructuring costs</w:t>
        <w:tab/>
      </w:r>
      <w:r>
        <w:rPr>
          <w:rFonts w:cs="Courier New" w:ascii="Courier New" w:hAnsi="Courier New"/>
          <w:u w:val="single"/>
        </w:rPr>
        <w:t xml:space="preserve">  (83)</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$(357)</w:t>
        <w:tab/>
        <w:t>$ (20</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decreased $158 million in the third quarter of 2001 compared to the third quarter of 2000.  Weak market conditions in the broadband and communications sectors negatively impacted the 2001 gross margin.  Third quarter 2000 gross margin benefited from the significant increase in the market value of Broadband Services’ merchant investments.  Operating expenses (including depreciation) decreased in the third quarter of 2001 compared to the third quarter of 2000 as a result of reduced business activities including a reduction in the number of employees.</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the content services portions of Broadband Services’ business ($83 million) and the write down of the value of certain broadband-related long-lived assets and excess network equipment to fair value ($34 million).  The amount related to the content services business included the write-off of the value of Broadband Services’ investment in content services entities, the impairment of related assets and a valuation adjustment on a derivative instrument associated with the content systems business.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realized a loss before interest, minority interests and taxes of $60 million, excluding items impacting comparability, in the third quarter of 2001 compared to a loss of $106 million in the same period of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Loss before item impacting comparability</w:t>
        <w:tab/>
        <w:t>$ (59)</w:t>
        <w:tab/>
        <w:t>$(106)</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$(842)</w:t>
        <w:tab/>
        <w:t>$(106</w:t>
      </w:r>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Third quarter 2001 and 2000 results include unallocated corporate-wide expenses. Expenses in 2001 were partially offset by interest income from notes receivable.</w:t>
      </w:r>
    </w:p>
    <w:p>
      <w:pPr>
        <w:pStyle w:val="BodyText"/>
        <w:spacing w:before="0" w:after="0"/>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Enron recorded charges totaling $710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Interest and Related Charges, net</w:t>
      </w:r>
    </w:p>
    <w:p>
      <w:pPr>
        <w:pStyle w:val="Normal"/>
        <w:tabs>
          <w:tab w:val="clear" w:pos="720"/>
          <w:tab w:val="left" w:pos="540" w:leader="none"/>
        </w:tabs>
        <w:rPr>
          <w:rFonts w:ascii="Courier New" w:hAnsi="Courier New" w:cs="Courier New"/>
        </w:rPr>
      </w:pPr>
      <w:r>
        <w:rPr>
          <w:rFonts w:cs="Courier New" w:ascii="Courier New" w:hAnsi="Courier New"/>
        </w:rPr>
        <w:tab/>
        <w:t>Interest and related charges, net is reported net of interest capitalized of $22 million and $3 million for the third quarter of 2001 and 2000, respectively.  The net expense decreased $46 million in the third quarter of 2001 as compared to the same period of 2000, primarily due to lower interest rates resulting from general market conditions within the U.S.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Income taxes decreased during the third quarter of 2001 as compared with the same period of 2000 primarily as a result of pretax losses due to charges related to the asset impairments by Azurix, the restructuring of Broadband Services and the losses associated with the Raptor SPEs.  The projected effective tax rate for 2001 is lower than the statutory rate mainly due to differences between the book and tax basis of certain assets and stock sales.  Income taxes, excluding taxes related to items impacting comparability, increased during the third quarter of 2001 as compared to the third quarter of 2000 primarily as a result of increased pretax earnings.</w:t>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caps/>
        </w:rPr>
      </w:pPr>
      <w:r>
        <w:rPr>
          <w:rFonts w:cs="Courier New" w:ascii="Courier New" w:hAnsi="Courier New"/>
          <w:b/>
          <w:caps/>
        </w:rPr>
        <w:t>RESULTS OF OPERATIONS - Nine Months Ended September 30, 2001 vs.</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caps/>
        </w:rPr>
      </w:pPr>
      <w:r>
        <w:rPr>
          <w:rFonts w:cs="Courier New" w:ascii="Courier New" w:hAnsi="Courier New"/>
          <w:b/>
          <w:caps/>
        </w:rPr>
        <w:t>Nine Months Ended September 30,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caps/>
        </w:rPr>
      </w:pPr>
      <w:r>
        <w:rPr>
          <w:rFonts w:cs="Courier New" w:ascii="Courier New" w:hAnsi="Courier New"/>
          <w:b/>
          <w:caps/>
        </w:rPr>
      </w:r>
    </w:p>
    <w:p>
      <w:pPr>
        <w:pStyle w:val="Normal"/>
        <w:tabs>
          <w:tab w:val="clear" w:pos="720"/>
          <w:tab w:val="left" w:pos="540" w:leader="none"/>
          <w:tab w:val="decimal" w:pos="4320" w:leader="none"/>
          <w:tab w:val="decimal" w:pos="5580" w:leader="none"/>
          <w:tab w:val="decimal" w:pos="6840" w:leader="none"/>
          <w:tab w:val="decimal" w:pos="8100" w:leader="none"/>
        </w:tabs>
        <w:rPr>
          <w:rFonts w:ascii="Courier New" w:hAnsi="Courier New" w:cs="Courier New"/>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adjusted to reflect the impacts of the restatements discussed in Note 3 to the Consolidated Financial Statements.  For the impacts on Enron’s Consolidated Financial Statements for the years ended December 31, 1997 through 2000 and for the first and second quarters of 2001, see Note 3 to the Consolidated Financial Statements.  While these restatements reflect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reports on Forms 10-K for the years ended December 31, 1997 through 2000, or its quarterly Reports on Forms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 w:val="decimal" w:pos="4320" w:leader="none"/>
          <w:tab w:val="decimal" w:pos="5580" w:leader="none"/>
          <w:tab w:val="decimal" w:pos="6840" w:leader="none"/>
          <w:tab w:val="decimal" w:pos="81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rFonts w:ascii="Courier New" w:hAnsi="Courier New" w:cs="Courier New"/>
        </w:rPr>
      </w:pPr>
      <w:r>
        <w:rPr>
          <w:rFonts w:cs="Courier New" w:ascii="Courier New" w:hAnsi="Courier New"/>
        </w:rPr>
        <w:tab/>
        <w:t xml:space="preserve">Enron reported net income of $1,181 million, excluding items impacting comparability, for the first nine months of 2001 compared to $798 million during the same period in 2000.  Items impacting comparability are discussed in the third quarter 2001 versus third quarter 2000 Results of Operations section.  Net income includes the following (in millions):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Nine Months Ended</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Net income before items impacting comparability</w:t>
        <w:tab/>
        <w:t>$1,181</w:t>
        <w:tab/>
        <w:t>$ 798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Investing activities</w:t>
        <w:tab/>
        <w:t>(544)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Broadband Services</w:t>
        <w:tab/>
        <w:t xml:space="preserve"> (180)</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19</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Reported net income (loss)</w:t>
        <w:tab/>
      </w:r>
      <w:r>
        <w:rPr>
          <w:rFonts w:cs="Courier New" w:ascii="Courier New" w:hAnsi="Courier New"/>
          <w:u w:val="double"/>
        </w:rPr>
        <w:t>$  189</w:t>
        <w:tab/>
        <w:t>$ 798</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(loss) per share of common stock were as follows:</w:t>
      </w:r>
    </w:p>
    <w:p>
      <w:pPr>
        <w:pStyle w:val="Normal"/>
        <w:tabs>
          <w:tab w:val="clear" w:pos="720"/>
          <w:tab w:val="left" w:pos="540" w:leader="none"/>
          <w:tab w:val="left" w:pos="5760" w:leader="none"/>
          <w:tab w:val="center" w:pos="702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t>Basic earnings per share</w:t>
        <w:tab/>
      </w:r>
      <w:r>
        <w:rPr>
          <w:rFonts w:cs="Courier New" w:ascii="Courier New" w:hAnsi="Courier New"/>
          <w:u w:val="double"/>
        </w:rPr>
        <w:t>$ 0.19</w:t>
        <w:tab/>
        <w:t>$ 1.02</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Diluted earnings(loss)per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Results before items impacting comparability</w:t>
        <w:tab/>
        <w:t>$ 1.32</w:t>
        <w:tab/>
        <w:t>$ 0.94</w:t>
      </w:r>
    </w:p>
    <w:p>
      <w:pPr>
        <w:pStyle w:val="BodyText"/>
        <w:tabs>
          <w:tab w:val="left" w:pos="360" w:leader="none"/>
          <w:tab w:val="left" w:pos="720" w:leader="none"/>
          <w:tab w:val="decimal" w:pos="6120" w:leader="none"/>
          <w:tab w:val="decimal" w:pos="7560" w:leader="none"/>
        </w:tabs>
        <w:spacing w:before="0" w:after="0"/>
        <w:rPr>
          <w:rFonts w:ascii="Courier New" w:hAnsi="Courier New" w:cs="Courier New"/>
        </w:rPr>
      </w:pPr>
      <w:r>
        <w:rPr>
          <w:rFonts w:cs="Courier New" w:ascii="Courier New" w:hAnsi="Courier New"/>
        </w:rPr>
        <w:tab/>
        <w:t>Items impacting comparability:</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Investing activities</w:t>
        <w:tab/>
        <w:t>(0.61)</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Azurix</w:t>
        <w:tab/>
        <w:t>(0.32)</w:t>
        <w:tab/>
        <w:t>-</w:t>
      </w:r>
    </w:p>
    <w:p>
      <w:pPr>
        <w:pStyle w:val="Footer"/>
        <w:tabs>
          <w:tab w:val="clear" w:pos="4320"/>
          <w:tab w:val="clear" w:pos="8640"/>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Broadband Services</w:t>
        <w:tab/>
        <w:t>(0.20)</w:t>
        <w:tab/>
        <w:t>-</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ab/>
        <w:t>Cumulative effect of accounting changes</w:t>
        <w:tab/>
        <w:t>0.02</w:t>
        <w:tab/>
        <w:t>-</w:t>
      </w:r>
    </w:p>
    <w:p>
      <w:pPr>
        <w:pStyle w:val="Normal"/>
        <w:tabs>
          <w:tab w:val="left" w:pos="360" w:leader="none"/>
          <w:tab w:val="left" w:pos="720" w:leader="none"/>
          <w:tab w:val="decimal" w:pos="6120" w:leader="none"/>
          <w:tab w:val="decimal" w:pos="7920" w:leader="none"/>
        </w:tabs>
        <w:rPr/>
      </w:pPr>
      <w:r>
        <w:rPr>
          <w:rFonts w:cs="Courier New" w:ascii="Courier New" w:hAnsi="Courier New"/>
        </w:rPr>
        <w:tab/>
        <w:tab/>
        <w:t>Effect of anti-dilution (a)</w:t>
        <w:tab/>
      </w:r>
      <w:r>
        <w:rPr>
          <w:rFonts w:cs="Courier New" w:ascii="Courier New" w:hAnsi="Courier New"/>
          <w:u w:val="single"/>
        </w:rPr>
        <w:t xml:space="preserve"> (0.03)</w:t>
        <w:tab/>
        <w:t>-</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rPr>
        <w:t>Reported diluted earnings per share</w:t>
        <w:tab/>
      </w:r>
      <w:r>
        <w:rPr>
          <w:rFonts w:cs="Courier New" w:ascii="Courier New" w:hAnsi="Courier New"/>
          <w:u w:val="double"/>
        </w:rPr>
        <w:t>$ 0.18</w:t>
        <w:tab/>
        <w:t>$ 0.94</w:t>
      </w:r>
    </w:p>
    <w:p>
      <w:pPr>
        <w:pStyle w:val="Normal"/>
        <w:tabs>
          <w:tab w:val="left" w:pos="360" w:leader="none"/>
          <w:tab w:val="left" w:pos="720" w:leader="none"/>
          <w:tab w:val="decimal" w:pos="6120" w:leader="none"/>
          <w:tab w:val="decimal" w:pos="7560" w:leader="none"/>
        </w:tabs>
        <w:rPr>
          <w:rFonts w:ascii="Courier New" w:hAnsi="Courier New" w:cs="Courier New"/>
          <w:u w:val="single"/>
        </w:rPr>
      </w:pPr>
      <w:r>
        <w:rPr>
          <w:rFonts w:cs="Courier New" w:ascii="Courier New" w:hAnsi="Courier New"/>
          <w:u w:val="single"/>
        </w:rPr>
      </w:r>
    </w:p>
    <w:p>
      <w:pPr>
        <w:pStyle w:val="BodyTextIndent2"/>
        <w:ind w:hanging="450" w:end="0"/>
        <w:rPr/>
      </w:pPr>
      <w:r>
        <w:rPr/>
        <w:t>(a)</w:t>
        <w:tab/>
        <w:t>The conversions of preferred shares and equity instruments to common shares for purposes of the diluted earnings per share calculation were anti-dilutive for the nine months of 2001.  However, in order to present comparable results, per share amounts for each earnings component were calculated after considering conversion.  The total average number of shares used to calculate each component of earnings per share was 889 million.</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IBIT, before items impacting comparability,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t>IBIT before items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Americas</w:t>
        <w:tab/>
        <w:t>$1,960</w:t>
        <w:tab/>
        <w:t>$1,009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t>235</w:t>
        <w:tab/>
        <w:t>265</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Retail Services</w:t>
        <w:tab/>
        <w:t>157</w:t>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Natural Gas Pipelines</w:t>
        <w:tab/>
        <w:t>295</w:t>
        <w:tab/>
        <w:t>289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108</w:t>
        <w:tab/>
        <w:t>241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Global Assets</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 Services</w:t>
        <w:tab/>
        <w:t>(217)</w:t>
        <w:tab/>
        <w:t>(38)</w:t>
      </w:r>
    </w:p>
    <w:p>
      <w:pPr>
        <w:pStyle w:val="Normal"/>
        <w:tabs>
          <w:tab w:val="clear" w:pos="720"/>
          <w:tab w:val="left" w:pos="360" w:leader="none"/>
          <w:tab w:val="decimal" w:pos="6480" w:leader="none"/>
          <w:tab w:val="decimal" w:pos="7920" w:leader="none"/>
        </w:tabs>
        <w:rPr/>
      </w:pPr>
      <w:r>
        <w:rPr>
          <w:rFonts w:cs="Courier New" w:ascii="Courier New" w:hAnsi="Courier New"/>
        </w:rPr>
        <w:tab/>
        <w:t>Corporate and Other</w:t>
        <w:tab/>
      </w:r>
      <w:r>
        <w:rPr>
          <w:rFonts w:cs="Courier New" w:ascii="Courier New" w:hAnsi="Courier New"/>
          <w:u w:val="single"/>
        </w:rPr>
        <w:t xml:space="preserve">  (188)</w:t>
        <w:tab/>
        <w:t xml:space="preserve">  (154</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b/>
        <w:t>2,362</w:t>
        <w:tab/>
        <w:t>1,808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Items impacting comparability:</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Investing activities</w:t>
        <w:tab/>
        <w:t>(841)</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Azurix</w:t>
        <w:tab/>
        <w:t>(287)</w:t>
        <w:tab/>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Broadband</w:t>
        <w:tab/>
      </w:r>
      <w:r>
        <w:rPr>
          <w:rFonts w:cs="Courier New" w:ascii="Courier New" w:hAnsi="Courier New"/>
          <w:u w:val="single"/>
        </w:rPr>
        <w:t xml:space="preserve">  (277)</w:t>
        <w:tab/>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ab/>
        <w:t>IBIT</w:t>
        <w:tab/>
      </w:r>
      <w:r>
        <w:rPr>
          <w:rFonts w:cs="Courier New" w:ascii="Courier New" w:hAnsi="Courier New"/>
          <w:u w:val="double"/>
        </w:rPr>
        <w:t>$  957</w:t>
        <w:tab/>
        <w:t>$1,808</w:t>
      </w:r>
    </w:p>
    <w:p>
      <w:pPr>
        <w:pStyle w:val="Normal"/>
        <w:tabs>
          <w:tab w:val="clear" w:pos="720"/>
          <w:tab w:val="left" w:pos="36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Revenues</w:t>
        <w:tab/>
        <w:t>$85,881</w:t>
        <w:tab/>
        <w:t>$40,635</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83,137</w:t>
        <w:tab/>
        <w:t>39,162</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t>Gross margin</w:t>
        <w:tab/>
        <w:t>2,744</w:t>
        <w:tab/>
        <w:t>1,473</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Operating expenses</w:t>
        <w:tab/>
        <w:t>610</w:t>
        <w:tab/>
        <w:t>513</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132</w:t>
        <w:tab/>
        <w:t>71</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Equity in earnings</w:t>
        <w:tab/>
        <w:t>(55)</w:t>
        <w:tab/>
        <w:t>118</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13</w:t>
        <w:tab/>
        <w:t>2</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$ 1,960</w:t>
        <w:tab/>
        <w:t>$ 1,009</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26,787</w:t>
        <w:tab/>
        <w:t>23,152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25,642</w:t>
        <w:tab/>
        <w:t xml:space="preserve"> 14,287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52,429</w:t>
        <w:tab/>
        <w:t xml:space="preserve"> 37,439</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700,007</w:t>
        <w:tab/>
        <w:t>391,459</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228,900</w:t>
        <w:tab/>
        <w:t>128,266</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Foot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Gross margin of Americas increased $1,266 million in the first nine months of 2001 as compared to the first nine months of 2000, primarily as a result of increased earnings from both power and gas marketing operations.  The sale of five peaking power plants in 2001 favorably impacted gross margin from power marketing.  The power and gas intermediation businesses both benefited from price volatility in the 2001.  Gross margin from merchant investments was lower in the first nine months of 2001 as compared to the same period of 2000 primarily due to a decline in the value of investments in 2001 and a significant increase in the value of power-related investments in 2000.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increased by $91 million in the first three quarters of 2001 compared to the same period in 2000 primarily due to the growth of Americas’ commodity intermediation business.  Depreciation and amortization increased $61 million primarily as a result of increased amortization related to intangible assets acquired in the second quarter of 2001 and other assets and depreciation associated with computer equipment placed into service in 2001.</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Equity in earnings decreased $173 million in the first nine months of 2001 as compared to the same period of 2000 primarily as a result of the decline in the value of merchant investments held by unconsolidated equity affiliates combined with increases in the value of merchant investments during the first nine months of 2000.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Revenues</w:t>
        <w:tab/>
        <w:t>$48,468</w:t>
        <w:tab/>
        <w:t>$15,162</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Cost of sales</w:t>
        <w:tab/>
        <w:t xml:space="preserve"> </w:t>
      </w:r>
      <w:r>
        <w:rPr>
          <w:rFonts w:cs="Courier New" w:ascii="Courier New" w:hAnsi="Courier New"/>
          <w:u w:val="single"/>
        </w:rPr>
        <w:t>47,524</w:t>
        <w:tab/>
        <w:t>14,455</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ab/>
        <w:t>Gross margin</w:t>
        <w:tab/>
        <w:t>944</w:t>
        <w:tab/>
        <w:t>707</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Operating expenses</w:t>
        <w:tab/>
        <w:t>683</w:t>
        <w:tab/>
        <w:t>427</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65</w:t>
        <w:tab/>
        <w:t>50</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Equity in earnings</w:t>
        <w:tab/>
        <w:t>9</w:t>
        <w:tab/>
        <w:t>3</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30</w:t>
        <w:tab/>
        <w:t>32</w:t>
      </w:r>
    </w:p>
    <w:p>
      <w:pPr>
        <w:pStyle w:val="Footer"/>
        <w:tabs>
          <w:tab w:val="clear" w:pos="4320"/>
          <w:tab w:val="clear" w:pos="8640"/>
          <w:tab w:val="left" w:pos="540" w:leader="none"/>
          <w:tab w:val="decimal" w:pos="6660" w:leader="none"/>
          <w:tab w:val="decimal" w:pos="810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235</w:t>
        <w:tab/>
        <w:t>$   265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8,438</w:t>
        <w:tab/>
        <w:t>3,192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7,798</w:t>
        <w:tab/>
        <w:t>1,086</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8,776</w:t>
        <w:tab/>
        <w:t>5,640</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25,012</w:t>
        <w:tab/>
        <w:t>9,918</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212,906</w:t>
        <w:tab/>
        <w:t>29,777</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64,672</w:t>
        <w:tab/>
        <w:t>40,782</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 (MM Bbl)</w:t>
        <w:tab/>
        <w:t>434</w:t>
        <w:tab/>
        <w:t>300</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Coal (thousand tons)</w:t>
        <w:tab/>
        <w:t>67,209</w:t>
        <w:tab/>
        <w:t>28,643</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Weather (notional value $MM)</w:t>
        <w:tab/>
        <w:t>779</w:t>
        <w:tab/>
        <w:t>512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LNG (BBtue)</w:t>
        <w:tab/>
        <w:t>17,664</w:t>
        <w:tab/>
        <w:t>-</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Metals (thousand tons)</w:t>
        <w:tab/>
        <w:t>6,904</w:t>
        <w:tab/>
        <w:t>2,946</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Forest Products (thousand tons)</w:t>
        <w:tab/>
        <w:t>2,094</w:t>
        <w:tab/>
        <w:t>182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Steel (thousand tons)</w:t>
        <w:tab/>
        <w:t>887</w:t>
        <w:tab/>
        <w:t>-</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Europe and Other increased $236 million in the first nine months of 2001 as compared to the first nine months of 2000, primarily as a result of increased earnings from European power and gas marketing operations and steel, coal and liquids marketing partially offset by lower earnings from Enron’s metals marketing operations.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for Europe and Other increased $256 million in the first nine months of 2001 as compared to the same period of 2000 primarily due to the expansion into new markets and the growth of the European operations.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in the first nine months of 2001 increased as compared to the same period of 2000 primarily due to the earnings from an affiliate formed in 2001 to hold Enron’s investment in forest product-related assets.  Other, net in both 2001 and 2000 primarily consisted of interest income.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Retail Services</w:t>
      </w:r>
    </w:p>
    <w:p>
      <w:pPr>
        <w:pStyle w:val="Normal"/>
        <w:tabs>
          <w:tab w:val="clear" w:pos="720"/>
          <w:tab w:val="left" w:pos="540" w:leader="none"/>
        </w:tabs>
        <w:rPr>
          <w:rFonts w:ascii="Courier New" w:hAnsi="Courier New" w:cs="Courier New"/>
        </w:rPr>
      </w:pPr>
      <w:r>
        <w:rPr>
          <w:rFonts w:cs="Courier New" w:ascii="Courier New" w:hAnsi="Courier New"/>
        </w:rPr>
        <w:tab/>
        <w:t xml:space="preserve">Retail Services reported IBIT before items impacting comparability of $157 million in the first nine months of 2001 compared to IBIT of $79 million for the same period of 2000.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$1,737</w:t>
        <w:tab/>
        <w:t>$1,076</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1,084</w:t>
        <w:tab/>
        <w:t>742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ab/>
        <w:t>Gross margin</w:t>
        <w:tab/>
        <w:t>653</w:t>
        <w:tab/>
        <w:t>334</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474</w:t>
        <w:tab/>
        <w:t>284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29</w:t>
        <w:tab/>
        <w:t>27</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losses of NPW</w:t>
        <w:tab/>
        <w:t>(46)</w:t>
        <w:tab/>
        <w:t>(32)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53</w:t>
        <w:tab/>
        <w:t xml:space="preserve">    88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157</w:t>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investment in NPW</w:t>
        <w:tab/>
      </w:r>
      <w:r>
        <w:rPr>
          <w:rFonts w:cs="Courier New" w:ascii="Courier New" w:hAnsi="Courier New"/>
          <w:u w:val="single"/>
        </w:rPr>
        <w:t xml:space="preserve">   (58)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IBIT</w:t>
        <w:tab/>
      </w:r>
      <w:r>
        <w:rPr>
          <w:rFonts w:cs="Courier New" w:ascii="Courier New" w:hAnsi="Courier New"/>
          <w:u w:val="double"/>
        </w:rPr>
        <w:t>$   99</w:t>
        <w:tab/>
        <w:t>$   79</w:t>
      </w:r>
    </w:p>
    <w:p>
      <w:pPr>
        <w:pStyle w:val="Heading2"/>
        <w:tabs>
          <w:tab w:val="clear" w:pos="720"/>
          <w:tab w:val="left" w:pos="540" w:leader="none"/>
        </w:tabs>
        <w:ind w:hanging="0" w:end="0"/>
        <w:rPr>
          <w:rFonts w:ascii="Courier New" w:hAnsi="Courier New" w:cs="Courier New"/>
          <w:b w:val="false"/>
        </w:rPr>
      </w:pPr>
      <w:r>
        <w:rPr>
          <w:rFonts w:cs="Courier New"/>
          <w:b w:val="false"/>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increased $469 million in the first nine months of 2001 compared to the same period in 2000 primarily as a result long-term energy contracts originated in 2001 and the growth of Retail Services’ European operations.  Gross margin increased $316 million in the first nine months of 2001 compared to the same period in 2000 due to long-term energy contracts originated in 2001 and the monetization of interests in a merchant asset for a gain of $21 million.  Operating expenses increased $190 million primarily as a result of risk management support service expenses in 2001 and higher employee- and IT-related expenditures.  Equity losses for both periods reflect Retail Services’ portion of losses of NPW.  Other, net in 2001 and 2000 consisted primarily of gains associated with Retail Services’ monetization of a portion of its interest in NPW.  </w:t>
      </w:r>
    </w:p>
    <w:p>
      <w:pPr>
        <w:pStyle w:val="BodyText"/>
        <w:spacing w:before="0" w:after="0"/>
        <w:rPr>
          <w:rFonts w:ascii="Courier New" w:hAnsi="Courier New" w:cs="Courier New"/>
        </w:rPr>
      </w:pPr>
      <w:r>
        <w:rPr>
          <w:rFonts w:cs="Courier New" w:ascii="Courier New" w:hAnsi="Courier New"/>
        </w:rPr>
      </w:r>
    </w:p>
    <w:p>
      <w:pPr>
        <w:pStyle w:val="BodyText"/>
        <w:spacing w:before="0" w:after="0"/>
        <w:rPr>
          <w:rFonts w:ascii="Courier New" w:hAnsi="Courier New" w:cs="Courier New"/>
          <w:b/>
        </w:rPr>
      </w:pPr>
      <w:r>
        <w:rPr>
          <w:rFonts w:cs="Courier New" w:ascii="Courier New" w:hAnsi="Courier New"/>
          <w:b/>
        </w:rPr>
        <w:t>Item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the third quarter of 2001, Retail Services recorded a $58 million charge for the write off of its remaining equity investment in NPW.  </w:t>
      </w:r>
    </w:p>
    <w:p>
      <w:pPr>
        <w:pStyle w:val="Footer"/>
        <w:tabs>
          <w:tab w:val="clear" w:pos="4320"/>
          <w:tab w:val="clear" w:pos="8640"/>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3,139</w:t>
        <w:tab/>
        <w:t>3,464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1,847</w:t>
        <w:tab/>
        <w:t>1,639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1,578</w:t>
        <w:tab/>
        <w:t>1,601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2,362</w:t>
        <w:tab/>
        <w:t>2,438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Net revenues</w:t>
        <w:tab/>
        <w:t>$ 500</w:t>
        <w:tab/>
        <w:t>$ 499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236</w:t>
        <w:tab/>
        <w:t>232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51</w:t>
        <w:tab/>
        <w:t>50</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48</w:t>
        <w:tab/>
        <w:t>45</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34</w:t>
        <w:tab/>
        <w:t>27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$ 295</w:t>
        <w:tab/>
        <w:t>$ 289</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net of cost of sales (net revenues) of Natural Gas Pipelines in the first nine months of 2001 were comparable to the prior period. In 2001, increased revenues generated by Transwestern from transportation and operational gas sales and increased storage revenues received by Northern, were offset by lower sales of gas storage inventory by Northern.  Operating expenses, including depreciation expense, in the first nine months of 2001 increased primarily as a result of higher gas prices and other costs associated with the volumes transported by Transwestern and other pipeline expenses.  Equity in earnings increased $4 million in the first nine months of 2001 compared to the same period in 2000 primarily due to higher operating results from EOTT and Florida Gas.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Portland General</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ab/>
        <w:t>Statistics for Portland General for the first nine months of 2001 and 2000 are as follows:</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5,151</w:t>
        <w:tab/>
        <w:t>5,285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5,475</w:t>
        <w:tab/>
        <w:t>5,605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3,546</w:t>
        <w:tab/>
        <w:t xml:space="preserve"> 3,653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14,172</w:t>
        <w:tab/>
        <w:t>14,543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 xml:space="preserve"> 9,836</w:t>
        <w:tab/>
        <w:t>14,893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24,008</w:t>
        <w:tab/>
        <w:t>29,436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9.97</w:t>
        <w:tab/>
        <w:t>5.18</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15%</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17</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38</w:t>
        <w:tab/>
        <w:t>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56</w:t>
        <w:tab/>
        <w:t>66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8</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113.3</w:t>
        <w:tab/>
        <w:t>32.6</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732</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$2,503</w:t>
        <w:tab/>
        <w:t>$1,557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Purchased power and fuel</w:t>
        <w:tab/>
        <w:t>2,028</w:t>
        <w:tab/>
        <w:t>976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229</w:t>
        <w:tab/>
        <w:t>239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138</w:t>
        <w:tab/>
        <w:t>152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tab/>
        <w:t xml:space="preserve">    51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108</w:t>
        <w:tab/>
        <w:t>$  241</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net of purchased power and fuel costs, decreased $107 million in the first nine months of 2001 compared to the same period in 2000.  The decrease was due to increased power costs resulting from general market conditions, including lower hydroelectric generation, partially offset by increased wholesale power sales.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In 2000, other, net consisted primarily of a gain on the sale of a generation-related asset and was favorably impacted by certain regulatory events.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$1,134</w:t>
        <w:tab/>
        <w:t>$1,150</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719</w:t>
        <w:tab/>
        <w:t>669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352</w:t>
        <w:tab/>
        <w:t>364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134</w:t>
        <w:tab/>
        <w:t>134</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47</w:t>
        <w:tab/>
        <w:t>112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36</w:t>
        <w:tab/>
        <w:t xml:space="preserve">    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 before item impacting comparability</w:t>
        <w:tab/>
        <w:t>12</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Impairment by Azurix</w:t>
        <w:tab/>
      </w:r>
      <w:r>
        <w:rPr>
          <w:rFonts w:cs="Courier New" w:ascii="Courier New" w:hAnsi="Courier New"/>
          <w:u w:val="single"/>
        </w:rPr>
        <w:t xml:space="preserve">  (287)</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 xml:space="preserve"> and income taxes</w:t>
        <w:tab/>
      </w:r>
      <w:r>
        <w:rPr>
          <w:rFonts w:cs="Courier New" w:ascii="Courier New" w:hAnsi="Courier New"/>
          <w:u w:val="double"/>
        </w:rPr>
        <w:t>$ (275)</w:t>
        <w:tab/>
        <w:t>$  117</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decreased $16 million in the first nine months of 2001 compared to the same period in 2000 due to a decrease in revenues from Elektro which had curtailed power sales due to the reduction in available hydro-generated power, partially offset by an increase in project revenues at EREC.  Cost of sales increased $50 million in the first nine months of 2001 compared to the same period in 2000 due to an increase in costs at EREC, partially offset by a decrease in costs at Elektro.  Operating expenses, including depreciation, decreased due to reduced developmental activities, partially offset by higher costs in EREC’s European operations.  Equity in earnings for the first nine months of 2001 compared to the same period in 2000 decreased due to lower operating results from Azurix.  Equity earnings in 2000 consisted of a gain from the monetization of a power plant by an equity method affiliate.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Item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In the third quarter of 2001, Global Assets recognized a loss of $287 million related to asset impairments by Atlantic Water Trust (the parent of Azurix Corp.), an equity method investment. These impairments primarily reflect Azurix’s planned disposition of its North American and certain South American service-related businesses.  See Note 8 to the Consolidated Financial Statements for a discussion of Atlantic Water Trust.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Broadband Services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Revenues</w:t>
        <w:tab/>
        <w:t>$ 104</w:t>
        <w:tab/>
        <w:t>$ 335</w:t>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Cost of sales</w:t>
        <w:tab/>
      </w:r>
      <w:r>
        <w:rPr>
          <w:rFonts w:cs="Courier New" w:ascii="Courier New" w:hAnsi="Courier New"/>
          <w:u w:val="single"/>
        </w:rPr>
        <w:t xml:space="preserve">   59</w:t>
        <w:tab/>
        <w:t>64</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Gross margin</w:t>
        <w:tab/>
        <w:t>45</w:t>
        <w:tab/>
        <w:t>271</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Operating expenses</w:t>
        <w:tab/>
        <w:t>213</w:t>
        <w:tab/>
        <w:t>249</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Depreciation and amortization</w:t>
        <w:tab/>
        <w:t>49</w:t>
        <w:tab/>
        <w:t>63</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Equity in earnings</w:t>
        <w:tab/>
        <w:t>(1)</w:t>
        <w:tab/>
        <w:t>1</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2</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Loss before items impacting comparability</w:t>
        <w:tab/>
        <w:t>(217)</w:t>
        <w:tab/>
        <w:t>(38)</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Items impacting comparability:</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Content services business</w:t>
        <w:tab/>
        <w:t>(160)</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Charge to reflect impairments</w:t>
        <w:tab/>
        <w:t>(34)</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Severance and restructuring costs</w:t>
        <w:tab/>
      </w:r>
      <w:r>
        <w:rPr>
          <w:rFonts w:cs="Courier New" w:ascii="Courier New" w:hAnsi="Courier New"/>
          <w:u w:val="single"/>
        </w:rPr>
        <w:t xml:space="preserve">  (83)</w:t>
        <w:tab/>
        <w:t>-</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 w:val="decimal" w:pos="8640" w:leader="none"/>
        </w:tabs>
        <w:jc w:val="both"/>
        <w:rPr/>
      </w:pPr>
      <w:r>
        <w:rPr>
          <w:rFonts w:cs="Courier New" w:ascii="Courier New" w:hAnsi="Courier New"/>
        </w:rPr>
        <w:tab/>
        <w:tab/>
        <w:t xml:space="preserve"> and taxes</w:t>
        <w:tab/>
      </w:r>
      <w:r>
        <w:rPr>
          <w:rFonts w:cs="Courier New" w:ascii="Courier New" w:hAnsi="Courier New"/>
          <w:u w:val="double"/>
        </w:rPr>
        <w:t>$(494)</w:t>
        <w:tab/>
        <w:t>$ (38</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decreased $227 million in the first nine months of 2001 compared to the same period in 2000.  Weak market conditions in the broadband and communications sectors negatively impacted the 2001 gross margin.  Gross margin for 2001 included the realized appreciation in the first quarter associated with a portion of Enron’s broadband content delivery platform while gross margin for 2000 primarily reflects earnings from sales of excess dark fiber and an increase in the market value of Broadband Services’ merchant investments.  Operating expenses (including depreciation) decreased in 2001 compared to 2000 as a result of lower Broadband Services business activity.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the third quarter of 2001, Broadband Services recorded charges totaling $277 million.  The charge related to the content services business ($160 million), severance and costs associated with exiting the content services portions of Broadband Services’ business ($83 million) and the write down of the value of certain broadband-related long-lived assets and excess network equipment to fair value ($34 million).  The amount related to the content services business included the write-off of the value of Broadband Services’ investment in content services entities, the impairment of related assets and a valuation adjustment on a derivative instrument associated with the content systems business.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realized a loss before interest, minority interests and taxes of $188 million before items impacting comparability in the first nine months of 2001 compared to a loss of $154 million for the same period in 2000.  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Loss before item impacting comparability</w:t>
        <w:tab/>
        <w:t>$(188)</w:t>
        <w:tab/>
        <w:t>$(154)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Item impacting comparability: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Loss on investing activities</w:t>
        <w:tab/>
      </w:r>
      <w:r>
        <w:rPr>
          <w:rFonts w:cs="Courier New" w:ascii="Courier New" w:hAnsi="Courier New"/>
          <w:u w:val="single"/>
        </w:rPr>
        <w:t xml:space="preserve"> (783)</w:t>
        <w:tab/>
        <w:t xml:space="preserve">    -</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Loss before interest, minority interest</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 xml:space="preserve"> and taxes</w:t>
        <w:tab/>
      </w:r>
      <w:r>
        <w:rPr>
          <w:rFonts w:cs="Courier New" w:ascii="Courier New" w:hAnsi="Courier New"/>
          <w:u w:val="double"/>
        </w:rPr>
        <w:t>$(971)</w:t>
        <w:tab/>
        <w:t>$(154</w:t>
      </w:r>
      <w:r>
        <w:rPr>
          <w:rFonts w:cs="Courier New" w:ascii="Courier New" w:hAnsi="Courier New"/>
        </w:rPr>
        <w:t>)</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The nine months ended September 2001 and 2000 results for Corporate and Other include unallocated corporate-wide expenses. Expenses in 2001 were partially offset by interest income from notes receivable while 2000 expenses were partially offset by a gain on the sale of certain assets.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ind w:hanging="0" w:start="0"/>
        <w:rPr/>
      </w:pPr>
      <w:r>
        <w:rPr/>
        <w:t>Items Impacting Comparability</w:t>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Enron recorded charges totaling $710 million ($506 million after tax) related to the acquisition of LJM’s interest in four entities (the Raptor SPEs) and a charge of $73 million ($48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deterioration in the credit quality of the Raptor SPEs caused by a decline in Enron and NPW’s stock price as well as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Interest and Related Charges, net</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Interest and related charges, net, is reported net of interest capitalized of $45 million and $28 million for the first nine months of 2001 and 2000, respectively. Net expense increased $13 million in the first nine months of 2001 as compared to the same period of 2000, primarily due to increased debt levels, partially offset by lower interest rates resulting from general market conditions within the U.S.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 xml:space="preserve">Income taxes decreased during the first three quarters of 2001 as compared with the same period of 2000 primarily as a result of pretax losses related to the asset impairments recorded by Azurix Corp., the restructuring of Broadband Services and the losses associated with the Raptor SPEs.  The projected effective tax rate for 2001 is lower than the statutory rate mainly due to differences between the book and tax basis of certain assets and stock sales.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 recorded tax benefits in shareholders’ equity related to stock options exercised by employees of approximately $174 million in the first nine months of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CUMULATIVE EFFECT OF ACCOUNTING CHANGES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On January 1, 2001, Enron recognized an after-tax non-cash gain of $19 million in earnings and deferred an after-tax non-cash gain of $25 million in "Accumulated Other Comprehensive Income," a component of shareholders' equity, and reclassified $277 million from "Long-Term Debt" to "Other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Under SFAS No. 142, entities are required to determine the useful life of other intangible assets and amortize the value over the useful life. If the useful life is determined to be indefinite no amortization will be recorded. For intangible assets recognized prior to the adoption of SFAS No. 142, the useful life should be reassessed. Other intangible assets are required to be tested for impairment in a manner similar to goodwill. At September 30, 2001, Enron's goodwill related to consolidated entities was approximately $3.5 billion. Estimated annual amortization of such goodwill is approximately $100 million. Enron is in the process of evaluating the application of SFAS No. 142 in light of the recent events discussed above.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Condition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Cash Flows</w:t>
      </w:r>
    </w:p>
    <w:p>
      <w:pPr>
        <w:pStyle w:val="Footer"/>
        <w:numPr>
          <w:ilvl w:val="0"/>
          <w:numId w:val="0"/>
        </w:numPr>
        <w:tabs>
          <w:tab w:val="clear" w:pos="4320"/>
          <w:tab w:val="clear" w:pos="8640"/>
          <w:tab w:val="left" w:pos="540" w:leader="none"/>
          <w:tab w:val="left" w:pos="5940" w:leader="none"/>
          <w:tab w:val="center" w:pos="7020" w:leader="none"/>
          <w:tab w:val="left" w:pos="8100" w:leader="none"/>
        </w:tabs>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280" w:leader="none"/>
        </w:tabs>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280" w:leader="none"/>
        </w:tabs>
        <w:rPr>
          <w:rFonts w:ascii="Courier New" w:hAnsi="Courier New" w:cs="Courier New"/>
        </w:rPr>
      </w:pPr>
      <w:r>
        <w:rPr>
          <w:rFonts w:cs="Courier New" w:ascii="Courier New" w:hAnsi="Courier New"/>
        </w:rPr>
        <w:t>(In Millions)</w:t>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Cash provided by (used in):</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Operating activities:</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Operating activities excluding net</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 xml:space="preserve"> margin deposit activity</w:t>
        <w:tab/>
        <w:t>$ 1,600</w:t>
        <w:tab/>
        <w:t>$  (407)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Net margin deposit activity</w:t>
        <w:tab/>
      </w:r>
      <w:r>
        <w:rPr>
          <w:rFonts w:cs="Courier New" w:ascii="Courier New" w:hAnsi="Courier New"/>
          <w:u w:val="single"/>
        </w:rPr>
        <w:t xml:space="preserve"> (2,349)</w:t>
        <w:tab/>
        <w:t>541</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tab/>
        <w:tab/>
        <w:tab/>
        <w:t>Operating activities</w:t>
        <w:tab/>
      </w:r>
      <w:r>
        <w:rPr>
          <w:rFonts w:cs="Courier New" w:ascii="Courier New" w:hAnsi="Courier New"/>
          <w:u w:val="double"/>
        </w:rPr>
        <w:t>$  (749)</w:t>
        <w:tab/>
        <w:t>$   134</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Investing activities</w:t>
        <w:tab/>
        <w:t>$(1,346)</w:t>
        <w:tab/>
        <w:t>$(3,587)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Financing activities</w:t>
        <w:tab/>
        <w:t>$ 1,899</w:t>
        <w:tab/>
        <w:t>$ 3,873</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Cash used in operating activities totaled $749 million in the first nine months of 2001 as compared to cash provided by operating activities of $134 million in the same period last year.  Cash used in operating activities in the first nine months of 2001 reflects cash provided by operations and price risk management activities, offset by net cash used related to margin deposit activity.  Excluding net margin deposit activity, cash provided by operating activity was $1,600 million.  Enron received significant cash deposits as credit collateral during the fourth quarter of 2000 resulting from volatility in the power and gas markets.  During the first nine months of 2001, net deposits of $2,349 million were returned as general price levels in the commodity prices have declined.  Net cash provided by operating activities in the first nine months of 2000 primarily reflects earnings and proceeds from the sale of merchant assets and investments, partially offset by cash used in acquiring merchant assets and investments and working capital requirements.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in investing activities totaled $1,346 million in the first six months of 2001 as compared to $3,587 million in the same period of 2000.  Cash used in the first nine months of 2001 reflects investments in unconsolidated equity affiliates and capital expenditures.  Investments in unconsolidated equity affiliates in 2001 include the acquisition of a company whose assets include a newsprint mill and related assets, a power generation related entity and the purchase of all publicly traded shares of Azurix Corp.  Capital expenditures in 2001 related to Wholesale Services’ energy network.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provided by financing activities totaled $1,899 million in the first nine months of 2001 as compared to $3,873 million during the same period of 2000.  The first nine months of 2001 include the net issuances of short- and long-term debt of $2,541, partially offset by payments of dividends.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2"/>
        <w:tabs>
          <w:tab w:val="clear" w:pos="720"/>
          <w:tab w:val="left" w:pos="540" w:leader="none"/>
        </w:tabs>
        <w:ind w:hanging="0" w:end="0"/>
        <w:rPr>
          <w:caps/>
        </w:rPr>
      </w:pPr>
      <w:r>
        <w:rPr>
          <w:caps/>
        </w:rPr>
        <w:t>Liquidity, Capital Resources and outlook</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Following Enron’s announcement of its third quarter 2001 results on October 16, 2001, there was a significant decrease in Enron’s common share price and subsequent decreases in the credit ratings of Enron’s long-term debt to BBB- and Baa3 (the lowest level of investment grade) with a warning that further downgrades were possible.  This situation resulted in a loss of investor confidence and significantly affected Enron’s ability to raise capital.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Maintaining an investment grade credit rating is a critical element in maintaining liquidity for Enron’s wholesale business which, together with the natural gas pipeline operations and the retail business, comprise Enron’s core businesses discussed below.  As a part of their standard contractual arrangements, Enron and its trading counterparties regularly post cash deposits or letters of credit to collateralize a portion of their trading obligations.  A downgrade to below investment grade could lead to a substantial increase in the level of cash required for collateral and margin deposits with Enron’s wholesale trading partners.  In the event its credit rating is further downgraded, Enron will unlikely be unable to meet the collateral requirements of its trading partners, which would accelerate Enron’s obligations under its trading and marketing contracts and amounts outstanding under certain of its various debt facilities.  </w:t>
      </w:r>
    </w:p>
    <w:p>
      <w:pPr>
        <w:pStyle w:val="Normal"/>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i/>
        </w:rPr>
        <w:tab/>
      </w:r>
      <w:r>
        <w:rPr>
          <w:rFonts w:cs="Courier New" w:ascii="Courier New" w:hAnsi="Courier New"/>
          <w:b/>
          <w:bCs/>
          <w:iCs/>
        </w:rPr>
        <w:t>Liquidity Actions.</w:t>
      </w:r>
      <w:r>
        <w:rPr>
          <w:rFonts w:cs="Courier New" w:ascii="Courier New" w:hAnsi="Courier New"/>
          <w:b/>
        </w:rPr>
        <w:t xml:space="preserve">  </w:t>
      </w:r>
      <w:r>
        <w:rPr>
          <w:rFonts w:cs="Courier New" w:ascii="Courier New" w:hAnsi="Courier New"/>
        </w:rPr>
        <w:t>Enron has implemented a financial strategy to restore investor confidence and will continue its initiatives in this regard.  Enron has taken the following steps to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Enron borrowed approximately $3.0 billion from its committed lines of credit to repay outstanding and expiring commercial paper obligations of approximately $1.9 billion and to provide immediate cash liquidity.  This action to convert Enron’s committed lines of credit to cash was done to eliminate any doubt as to their availability in the future.</w:t>
      </w:r>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3"/>
        </w:numPr>
        <w:rPr>
          <w:rFonts w:ascii="Courier New" w:hAnsi="Courier New" w:cs="Courier New"/>
        </w:rPr>
      </w:pPr>
      <w:r>
        <w:rPr>
          <w:rFonts w:cs="Courier New" w:ascii="Courier New" w:hAnsi="Courier New"/>
        </w:rPr>
        <w:t>In an effort to further enhance short-term liquidity, on November 13 and [19], 2001, Enron obtained $550 million and $450 million, respectively, in new secured lines of credit from JP Morgan Chase &amp; Co. and Citigroup Inc., secured by Enron’s Transwestern Pipeline Company and Northern Natural Gas Company assets.  These proceeds will be used to further supplement short-term liquidity and to retire maturing obligations;</w:t>
      </w:r>
    </w:p>
    <w:p>
      <w:pPr>
        <w:pStyle w:val="Normal"/>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On November 13, 2001, Enron received a $1.5 billion equity infusion in the form of a preferred stock investment in Northern Natural Gas Company 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anticipates the receipt of over $800 million in net proceeds from asset sales scheduled to close by year-end.  However, the closings of these sale transactions are pending certain regulatory and other approvals that will impact whether such transactions close and the ultimate timing of the closings.  Of the net proceeds, $250 million, or a portion thereof, may be required to repay an obligation that may become a demand obligation due to a recent credit rating downgrade discussed below and in Note 9;</w:t>
      </w:r>
    </w:p>
    <w:p>
      <w:pPr>
        <w:pStyle w:val="Normal"/>
        <w:ind w:start="360" w:end="0"/>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can be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pPr>
      <w:r>
        <w:rPr>
          <w:rFonts w:cs="Courier New" w:ascii="Courier New" w:hAnsi="Courier New"/>
          <w:b/>
          <w:bCs/>
          <w:iCs/>
        </w:rPr>
        <w:tab/>
        <w:t>Restructuring Plan.</w:t>
      </w:r>
      <w:r>
        <w:rPr>
          <w:rFonts w:cs="Courier New" w:ascii="Courier New" w:hAnsi="Courier New"/>
          <w:b/>
        </w:rPr>
        <w:t xml:space="preserve">  </w:t>
      </w:r>
      <w:r>
        <w:rPr>
          <w:rFonts w:cs="Courier New" w:ascii="Courier New" w:hAnsi="Courier New"/>
          <w:bCs/>
        </w:rPr>
        <w:t>As a result of the merger agreement and the loss of investor confidence, Enron has initiated an action plan for restructuring its business.</w:t>
      </w:r>
      <w:r>
        <w:rPr>
          <w:rFonts w:cs="Courier New" w:ascii="Courier New" w:hAnsi="Courier New"/>
        </w:rPr>
        <w:t xml:space="preserve">  The key aspects of the action plan involve (i) concentrating primarily on its core businesses; (ii) taking aggressive steps to rationalize the existing cost structure; (iii) accelerating the process of divesting non-core businesses and assets; (iv) restructuring scheduled maturities of debt and other obligations; (v) completing the investigation by the Special Committee and its advisors with respect to related party transactions; (vi) reviewing and strengthening Enron’s corporate governance; and (vii) expanding certain disclosures with a focus on increased transparency.  Management and the Board have not completed nor approved a restructuring plan.  Such restructuring plan is currently being prepared and, therefore, Enron is unable to estimate the final impacts.  Enron’s fourth quarter 2001 results of operations will likely be negatively impacted by severance costs and other restructuring charges resulting from the repositioning of many of Enron’s businesses.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their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6"/>
        </w:numPr>
        <w:rPr>
          <w:rFonts w:ascii="Courier New" w:hAnsi="Courier New" w:cs="Courier New"/>
        </w:rPr>
      </w:pPr>
      <w:r>
        <w:rPr>
          <w:rFonts w:cs="Courier New" w:ascii="Courier New" w:hAnsi="Courier New"/>
        </w:rPr>
        <w:t>Gas and power businesses in North America and Europe;</w:t>
      </w:r>
    </w:p>
    <w:p>
      <w:pPr>
        <w:pStyle w:val="Normal"/>
        <w:numPr>
          <w:ilvl w:val="1"/>
          <w:numId w:val="6"/>
        </w:numPr>
        <w:rPr>
          <w:rFonts w:ascii="Courier New" w:hAnsi="Courier New" w:cs="Courier New"/>
        </w:rPr>
      </w:pPr>
      <w:r>
        <w:rPr>
          <w:rFonts w:cs="Courier New" w:ascii="Courier New" w:hAnsi="Courier New"/>
        </w:rPr>
        <w:t>Coal businesses in North America and Europe;</w:t>
      </w:r>
    </w:p>
    <w:p>
      <w:pPr>
        <w:pStyle w:val="Normal"/>
        <w:numPr>
          <w:ilvl w:val="1"/>
          <w:numId w:val="6"/>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6"/>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Non-Core businesses are businesses that do not provide value to Enron’s core businesses.  These primarily are part of Enron’s global assets and broadband services segments.  Enron has over $8 billion invested in these businesses and the return from these investments is below acceptable rates.  Accordingly, Enron is developing a plan to exit these businesses in an orderly fashion.  Enron expects that the sale of these non-core businesses will generate cash proceeds that will be used to repay debt.  These businesses are carried on Enron’s books based on a going concern valuation.  Should the exit strategy, currently being prepared, result in a lower value, then Enron may be required to record related asset writedowns,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numPr>
          <w:ilvl w:val="0"/>
          <w:numId w:val="6"/>
        </w:numPr>
        <w:rPr>
          <w:rFonts w:ascii="Courier New" w:hAnsi="Courier New" w:cs="Courier New"/>
        </w:rPr>
      </w:pPr>
      <w:r>
        <w:rPr>
          <w:rFonts w:cs="Courier New" w:ascii="Courier New" w:hAnsi="Courier New"/>
        </w:rPr>
        <w:t>Businesses Under Review are businesses that Enron believes have strong future prospects; however, under the restructuring program,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iCs/>
        </w:rPr>
        <w:tab/>
        <w:t>Impact of Recent Events.</w:t>
      </w:r>
      <w:r>
        <w:rPr>
          <w:rFonts w:cs="Courier New" w:ascii="Courier New" w:hAnsi="Courier New"/>
        </w:rPr>
        <w:t xml:space="preserve">  The recent deterioration in Enron’s credit rating has caused a negative impact on Enron’s projected 2001 fourth quarter profitability.  This is primarily the result of a reduced level of transaction activity by Enron’s trading counterparties, particularly longer-term transactions.  It is too early to determine the impact these events will have on Enron’s fourth quarter 2001 operating results.  Additionally, the fourth quarter of 2001 will likely be negatively impacted by severance costs and other restructuring charges resulting from the repositioning of many of Enron’s businesses consistent with the restructuring plan.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various financial arrangements which require Enron to maintain specified credit ratings.  The November 12, 2001 downgrade in Enron’s senior unsecured debt rating to BBB- by Standard &amp; Poor’s has caused a ratings event related to a $690 million note payable that, absent Enron posting collateral, will become a demand obligation on November 26, 2001.  See “Minority Interests” below for a description of this obligation.  Consistent with the restructuring plan discussed above, Enron is currently working with the lenders to develop a mutually acceptable amendment to the transaction in order to avoid an early Enron payment obligation.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r>
      <w:r>
        <w:rPr>
          <w:rFonts w:cs="Courier New" w:ascii="Courier New" w:hAnsi="Courier New"/>
        </w:rPr>
        <w:t xml:space="preserve">In the event Enron loses its investment grade debt rating together with Enron’s current stock price would cause a Note Trigger Event for which Enron could be required to repay, refinance or cash collateralize additional facilities totaling $3.9 billion, which primarily consist of $2.4 billion of debt in Osprey Trust (Osprey) and $915 million of debt in Marlin Water Trust (Marlin).  The debt obligations of Marlin and Osprey contain certain Note Trigger Events to protect the note holders.  For a description of the Marlin and Osprey Trusts, both of which are unconsolidated affiliates, and related debt obligations, see “Unconsolidated Equity Affiliates” below.  In the event a Note Trigger Event occurs, Enron must either issue equity in an amount sufficient to repay the notes or Enron is obligated to immediately pay the difference in cash.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that Enron fails to repay each of the above obligations when due, including when such obligations may be accelerated, or is unable to obtain a waiver of such obligations, a series of events would begin which could impact Enron’s compliance with the terms of its Revolving Credit Agreements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It is not possible to predict whether any or all of the actions described above (including the sale of non-core businesses and assets and the refinancing or waiver of Enron obligations that may become immediately payable upon scheduled maturities or due to an acceleration event) will be adequate to maintain Enron’s investment grade credit rating or enable Enron to refinance or otherwise restructure its debt obligations that become due.  An adverse outcome with respect to any of these matters would likely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rPr>
        <w:tab/>
        <w:t>Near Term Maturities of Debt and Other Significant Obligations.</w:t>
      </w:r>
      <w:r>
        <w:rPr>
          <w:rFonts w:cs="Courier New" w:ascii="Courier New" w:hAnsi="Courier New"/>
        </w:rPr>
        <w:t xml:space="preserve">  As discussed above, a key aspect of Enron’s restructuring plan is restructuring scheduled maturities of debt and other obligations.  The following summarizes the maturities of debt and other obligations by quarter through 2002 as of November 16, 2001 (in millions):</w:t>
      </w:r>
    </w:p>
    <w:p>
      <w:pPr>
        <w:pStyle w:val="Normal"/>
        <w:rPr>
          <w:rFonts w:ascii="Courier New" w:hAnsi="Courier New" w:cs="Courier New"/>
        </w:rPr>
      </w:pPr>
      <w:r>
        <w:rPr>
          <w:rFonts w:cs="Courier New" w:ascii="Courier New" w:hAnsi="Courier New"/>
        </w:rPr>
      </w:r>
    </w:p>
    <w:p>
      <w:pPr>
        <w:sectPr>
          <w:headerReference w:type="default" r:id="rId36"/>
          <w:headerReference w:type="first" r:id="rId37"/>
          <w:footerReference w:type="default" r:id="rId38"/>
          <w:footerReference w:type="first" r:id="rId39"/>
          <w:type w:val="nextPage"/>
          <w:pgSz w:w="12240" w:h="15840"/>
          <w:pgMar w:left="1800" w:right="1800" w:gutter="0" w:header="720" w:top="776" w:footer="720" w:bottom="776"/>
          <w:pgNumType w:fmt="decimal"/>
          <w:formProt w:val="false"/>
          <w:textDirection w:val="lrTb"/>
          <w:docGrid w:type="default" w:linePitch="360" w:charSpace="0"/>
        </w:sectPr>
      </w:pPr>
    </w:p>
    <w:p>
      <w:pPr>
        <w:pStyle w:val="Normal"/>
        <w:rPr>
          <w:rFonts w:ascii="Courier New" w:hAnsi="Courier New" w:cs="Courier New"/>
          <w:sz w:val="18"/>
        </w:rPr>
      </w:pPr>
      <w:r>
        <w:rPr>
          <w:rFonts w:cs="Courier New" w:ascii="Courier New" w:hAnsi="Courier New"/>
          <w:sz w:val="18"/>
        </w:rPr>
      </w:r>
    </w:p>
    <w:p>
      <w:pPr>
        <w:pStyle w:val="Normal"/>
        <w:tabs>
          <w:tab w:val="clear" w:pos="720"/>
          <w:tab w:val="center" w:pos="2700" w:leader="none"/>
          <w:tab w:val="center" w:pos="4140" w:leader="none"/>
          <w:tab w:val="left" w:pos="5040" w:leader="none"/>
          <w:tab w:val="center" w:pos="7920" w:leader="none"/>
          <w:tab w:val="left" w:pos="10800" w:leader="none"/>
        </w:tabs>
        <w:rPr>
          <w:rFonts w:ascii="Courier New" w:hAnsi="Courier New" w:cs="Courier New"/>
          <w:sz w:val="18"/>
        </w:rPr>
      </w:pPr>
      <w:r>
        <w:rPr>
          <w:rFonts w:cs="Courier New" w:ascii="Courier New" w:hAnsi="Courier New"/>
          <w:sz w:val="18"/>
        </w:rPr>
        <w:tab/>
        <w:t>Outstanding</w:t>
        <w:tab/>
        <w:t>4</w:t>
      </w:r>
      <w:r>
        <w:rPr>
          <w:rFonts w:cs="Courier New" w:ascii="Courier New" w:hAnsi="Courier New"/>
          <w:sz w:val="18"/>
          <w:vertAlign w:val="superscript"/>
        </w:rPr>
        <w:t>th</w:t>
      </w:r>
      <w:r>
        <w:rPr>
          <w:rFonts w:cs="Courier New" w:ascii="Courier New" w:hAnsi="Courier New"/>
          <w:sz w:val="18"/>
        </w:rPr>
        <w:t xml:space="preserve"> Quarter</w:t>
        <w:tab/>
      </w:r>
      <w:r>
        <w:rPr>
          <w:rFonts w:cs="Courier New" w:ascii="Courier New" w:hAnsi="Courier New"/>
          <w:sz w:val="18"/>
          <w:u w:val="single"/>
        </w:rPr>
        <w:tab/>
        <w:t>2002</w:t>
        <w:tab/>
      </w:r>
    </w:p>
    <w:p>
      <w:pPr>
        <w:pStyle w:val="Normal"/>
        <w:pBdr>
          <w:bottom w:val="single" w:sz="4" w:space="1" w:color="000000"/>
        </w:pBdr>
        <w:tabs>
          <w:tab w:val="clear" w:pos="720"/>
          <w:tab w:val="center" w:pos="2700" w:leader="none"/>
          <w:tab w:val="center" w:pos="4140" w:leader="none"/>
          <w:tab w:val="center" w:pos="5580" w:leader="none"/>
          <w:tab w:val="center" w:pos="7020" w:leader="none"/>
          <w:tab w:val="center" w:pos="8640" w:leader="none"/>
          <w:tab w:val="center" w:pos="10080" w:leader="none"/>
        </w:tabs>
        <w:rPr/>
      </w:pPr>
      <w:r>
        <w:rPr>
          <w:rFonts w:cs="Courier New" w:ascii="Courier New" w:hAnsi="Courier New"/>
          <w:sz w:val="18"/>
        </w:rPr>
        <w:tab/>
        <w:t>Balance</w:t>
        <w:tab/>
        <w:t>2001</w:t>
      </w:r>
      <w:r>
        <w:rPr>
          <w:rFonts w:cs="Courier New" w:ascii="Courier New" w:hAnsi="Courier New"/>
          <w:sz w:val="16"/>
        </w:rPr>
        <w:t>(a)</w:t>
      </w:r>
      <w:r>
        <w:rPr>
          <w:rFonts w:cs="Courier New" w:ascii="Courier New" w:hAnsi="Courier New"/>
          <w:sz w:val="18"/>
        </w:rPr>
        <w:tab/>
        <w:t>1</w:t>
      </w:r>
      <w:r>
        <w:rPr>
          <w:rFonts w:cs="Courier New" w:ascii="Courier New" w:hAnsi="Courier New"/>
          <w:sz w:val="18"/>
          <w:vertAlign w:val="superscript"/>
        </w:rPr>
        <w:t>st</w:t>
      </w:r>
      <w:r>
        <w:rPr>
          <w:rFonts w:cs="Courier New" w:ascii="Courier New" w:hAnsi="Courier New"/>
          <w:sz w:val="18"/>
        </w:rPr>
        <w:t xml:space="preserve"> Quarter</w:t>
        <w:tab/>
        <w:t>2</w:t>
      </w:r>
      <w:r>
        <w:rPr>
          <w:rFonts w:cs="Courier New" w:ascii="Courier New" w:hAnsi="Courier New"/>
          <w:sz w:val="18"/>
          <w:vertAlign w:val="superscript"/>
        </w:rPr>
        <w:t>nd</w:t>
      </w:r>
      <w:r>
        <w:rPr>
          <w:rFonts w:cs="Courier New" w:ascii="Courier New" w:hAnsi="Courier New"/>
          <w:sz w:val="18"/>
        </w:rPr>
        <w:t xml:space="preserve"> Quarter</w:t>
        <w:tab/>
        <w:t>3</w:t>
      </w:r>
      <w:r>
        <w:rPr>
          <w:rFonts w:cs="Courier New" w:ascii="Courier New" w:hAnsi="Courier New"/>
          <w:sz w:val="18"/>
          <w:vertAlign w:val="superscript"/>
        </w:rPr>
        <w:t>rd</w:t>
      </w:r>
      <w:r>
        <w:rPr>
          <w:rFonts w:cs="Courier New" w:ascii="Courier New" w:hAnsi="Courier New"/>
          <w:sz w:val="18"/>
        </w:rPr>
        <w:t xml:space="preserve"> Quarter</w:t>
      </w:r>
      <w:r>
        <w:rPr>
          <w:rFonts w:cs="Courier New" w:ascii="Courier New" w:hAnsi="Courier New"/>
          <w:sz w:val="16"/>
        </w:rPr>
        <w:t>(b)</w:t>
      </w:r>
      <w:r>
        <w:rPr>
          <w:rFonts w:cs="Courier New" w:ascii="Courier New" w:hAnsi="Courier New"/>
          <w:sz w:val="18"/>
        </w:rPr>
        <w:tab/>
        <w:t>4</w:t>
      </w:r>
      <w:r>
        <w:rPr>
          <w:rFonts w:cs="Courier New" w:ascii="Courier New" w:hAnsi="Courier New"/>
          <w:sz w:val="18"/>
          <w:vertAlign w:val="superscript"/>
        </w:rPr>
        <w:t>th</w:t>
      </w:r>
      <w:r>
        <w:rPr>
          <w:rFonts w:cs="Courier New" w:ascii="Courier New" w:hAnsi="Courier New"/>
          <w:sz w:val="18"/>
        </w:rPr>
        <w:t xml:space="preserve"> Quarter</w:t>
      </w:r>
    </w:p>
    <w:p>
      <w:pPr>
        <w:pStyle w:val="Normal"/>
        <w:rPr>
          <w:rFonts w:ascii="Courier New" w:hAnsi="Courier New" w:cs="Courier New"/>
          <w:sz w:val="18"/>
        </w:rPr>
      </w:pPr>
      <w:r>
        <w:rPr>
          <w:rFonts w:cs="Courier New" w:ascii="Courier New" w:hAnsi="Courier New"/>
          <w:sz w:val="18"/>
        </w:rPr>
      </w:r>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rPr>
      </w:pPr>
      <w:r>
        <w:rPr>
          <w:rFonts w:cs="Courier New" w:ascii="Courier New" w:hAnsi="Courier New"/>
          <w:sz w:val="18"/>
        </w:rPr>
        <w:t>Commercial Paper</w:t>
        <w:tab/>
        <w:t>$   579</w:t>
        <w:tab/>
        <w:t>$ 230</w:t>
        <w:tab/>
        <w:t>$ 349</w:t>
        <w:tab/>
        <w:t>$     -</w:t>
        <w:tab/>
        <w:t>$   -</w:t>
        <w:tab/>
        <w:t>$   -</w:t>
      </w:r>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rPr>
      </w:pPr>
      <w:r>
        <w:rPr>
          <w:rFonts w:cs="Courier New" w:ascii="Courier New" w:hAnsi="Courier New"/>
          <w:sz w:val="18"/>
        </w:rPr>
        <w:t>Short-Term Debt</w:t>
        <w:tab/>
        <w:t>1,267</w:t>
        <w:tab/>
        <w:t>-</w:t>
        <w:tab/>
        <w:t>-</w:t>
        <w:tab/>
        <w:t>-</w:t>
        <w:tab/>
        <w:t>-</w:t>
        <w:tab/>
        <w:t>250</w:t>
      </w:r>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rPr>
      </w:pPr>
      <w:r>
        <w:rPr>
          <w:rFonts w:cs="Courier New" w:ascii="Courier New" w:hAnsi="Courier New"/>
          <w:sz w:val="18"/>
        </w:rPr>
        <w:t>Revolving Credit</w:t>
      </w:r>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Agreement</w:t>
        <w:tab/>
        <w:t>2,300</w:t>
        <w:tab/>
        <w:t>-</w:t>
        <w:tab/>
        <w:t>-</w:t>
        <w:tab/>
        <w:t>1,750</w:t>
        <w:tab/>
        <w:t>-</w:t>
        <w:tab/>
        <w:t>550</w:t>
      </w:r>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rPr>
      </w:pPr>
      <w:r>
        <w:rPr>
          <w:rFonts w:cs="Courier New" w:ascii="Courier New" w:hAnsi="Courier New"/>
          <w:sz w:val="18"/>
        </w:rPr>
        <w:t>Long-Term Debt</w:t>
        <w:tab/>
        <w:t>11,916</w:t>
        <w:tab/>
        <w:t>55</w:t>
        <w:tab/>
        <w:t>27</w:t>
        <w:tab/>
        <w:t>375</w:t>
        <w:tab/>
        <w:t>163</w:t>
        <w:tab/>
        <w:t>1,000</w:t>
      </w:r>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rPr>
      </w:pPr>
      <w:r>
        <w:rPr>
          <w:rFonts w:cs="Courier New" w:ascii="Courier New" w:hAnsi="Courier New"/>
          <w:sz w:val="18"/>
        </w:rPr>
        <w:t>Preferred Stock</w:t>
        <w:tab/>
        <w:t>904</w:t>
        <w:tab/>
        <w:t>-</w:t>
        <w:tab/>
        <w:t>-</w:t>
        <w:tab/>
        <w:t>-</w:t>
        <w:tab/>
        <w:t>-</w:t>
        <w:tab/>
        <w:t>-</w:t>
      </w:r>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rPr>
      </w:pPr>
      <w:r>
        <w:rPr>
          <w:rFonts w:cs="Courier New" w:ascii="Courier New" w:hAnsi="Courier New"/>
          <w:sz w:val="18"/>
        </w:rPr>
      </w:r>
    </w:p>
    <w:p>
      <w:pPr>
        <w:pStyle w:val="BodyText2"/>
        <w:tabs>
          <w:tab w:val="clear" w:pos="264"/>
          <w:tab w:val="left" w:pos="360" w:leader="none"/>
        </w:tabs>
        <w:ind w:hanging="360" w:start="360" w:end="0"/>
        <w:rPr>
          <w:sz w:val="16"/>
        </w:rPr>
      </w:pPr>
      <w:r>
        <w:rPr>
          <w:sz w:val="16"/>
        </w:rPr>
        <w:t>(a)</w:t>
        <w:tab/>
        <w:t>Excludes a $690 million note payable that, absent Enron posting collateral, will become a demand obligation on November 26, 2001.  See “Minority Interests” below for a description of this obligation.</w:t>
      </w:r>
    </w:p>
    <w:p>
      <w:pPr>
        <w:pStyle w:val="BodyText2"/>
        <w:tabs>
          <w:tab w:val="clear" w:pos="264"/>
          <w:tab w:val="left" w:pos="360" w:leader="none"/>
        </w:tabs>
        <w:ind w:hanging="360" w:start="360" w:end="0"/>
        <w:rPr>
          <w:sz w:val="16"/>
        </w:rPr>
      </w:pPr>
      <w:r>
        <w:rPr>
          <w:sz w:val="16"/>
        </w:rPr>
        <w:t>(b)</w:t>
        <w:tab/>
        <w:t>As discussed in “Unconsolidated Equity Affiliates” below, in the event that Enron has not repaid its obligations to Osprey and Marlin prior to their respective maturity dates of January 15, 2003 and July 15, 2003, respectively, Enron is required to deposit an amount sufficient to redeem the notes 120 days prior to the maturity dates.  As such, $2.4 billion related to the Osprey obligation has not been reflected as a scheduled maturity in the second quarter of 2002.</w:t>
      </w:r>
    </w:p>
    <w:p>
      <w:pPr>
        <w:pStyle w:val="BodyText2"/>
        <w:tabs>
          <w:tab w:val="clear" w:pos="264"/>
          <w:tab w:val="left" w:pos="360" w:leader="none"/>
        </w:tabs>
        <w:ind w:hanging="360" w:start="360" w:end="0"/>
        <w:rPr>
          <w:sz w:val="16"/>
        </w:rPr>
      </w:pPr>
      <w:r>
        <w:rPr>
          <w:sz w:val="16"/>
        </w:rPr>
      </w:r>
    </w:p>
    <w:p>
      <w:pPr>
        <w:sectPr>
          <w:type w:val="continuous"/>
          <w:pgSz w:w="12240" w:h="15840"/>
          <w:pgMar w:left="720" w:right="720" w:gutter="0" w:header="720" w:top="776" w:footer="720" w:bottom="776"/>
          <w:formProt w:val="false"/>
          <w:textDirection w:val="lrTb"/>
          <w:docGrid w:type="default" w:linePitch="360" w:charSpace="0"/>
        </w:sectPr>
      </w:pPr>
    </w:p>
    <w:p>
      <w:pPr>
        <w:pStyle w:val="Normal"/>
        <w:tabs>
          <w:tab w:val="clear" w:pos="720"/>
          <w:tab w:val="left" w:pos="540" w:leader="none"/>
        </w:tabs>
        <w:rPr/>
      </w:pPr>
      <w:r>
        <w:rPr>
          <w:rFonts w:cs="Courier New" w:ascii="Courier New" w:hAnsi="Courier New"/>
          <w:b/>
          <w:bCs/>
        </w:rPr>
        <w:tab/>
        <w:t>Cash Liquidity.</w:t>
      </w:r>
      <w:r>
        <w:rPr>
          <w:rFonts w:cs="Courier New" w:ascii="Courier New" w:hAnsi="Courier New"/>
        </w:rPr>
        <w:t xml:space="preserve">  As reflected on its Consolidated Balance Sheet as of September 30, 2001, Enron had $1.0 billion in cash and cash equivalents.  At November 16, 2001, Enron had $__ billion in cash and cash equivalents (such amount does not include the receipt of $450 million on November 19, 2001 from the new secured lines of credit discussed above).  Cash inflows primarily consisted of net collections from business operations and trade settlements, the borrowing from committed lines of credit, obtaining new secured lines of credit, the equity infusion from Dynegy and receipt of collateral deposits from trading partners.  Cash outflows primarily consisted of operating costs of business operations and trade settlements, repaying expiring commercial paper obligations and maturing short- and long-term debt and payment of collateral deposits to trading partners.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bCs/>
          <w:iCs/>
        </w:rPr>
        <w:tab/>
        <w:t>Credit Lines.</w:t>
      </w:r>
      <w:r>
        <w:rPr>
          <w:rFonts w:cs="Courier New" w:ascii="Courier New" w:hAnsi="Courier New"/>
        </w:rPr>
        <w:t xml:space="preserve">  As a result of Enron’s loss of investor confidence discussed above, Enron exited the commercial paper market for its short-term liquidity needs and borrowed its committed lines of credit (approximately $3.0 billion) to repay outstanding and expiring commercial paper obligations of approximately $1.9 billion and to provide additional cash liquidity.  On November 13 and [19], 2001, Enron obtained $550 million and $[450] million, respectively, of secured lines of credit from JP Morgan Chase &amp; Co. and Citigroup Inc., supported by Enron’s Transwestern Pipeline Company and Northern Natural Gas Company assets with the proceeds to be used to supplement short-term liquidity and to refinance maturing obligations.  At November 17, 2001 Enron had unused commercial paper lines of credit of $103 million.  </w:t>
      </w:r>
    </w:p>
    <w:p>
      <w:pPr>
        <w:pStyle w:val="Normal"/>
        <w:tabs>
          <w:tab w:val="clear" w:pos="720"/>
          <w:tab w:val="left" w:pos="540" w:leader="none"/>
        </w:tabs>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776"/>
          <w:formProt w:val="false"/>
          <w:textDirection w:val="lrTb"/>
          <w:docGrid w:type="default" w:linePitch="360" w:charSpace="0"/>
        </w:sectPr>
      </w:pPr>
    </w:p>
    <w:p>
      <w:pPr>
        <w:pStyle w:val="Normal"/>
        <w:tabs>
          <w:tab w:val="clear" w:pos="720"/>
          <w:tab w:val="left" w:pos="540" w:leader="none"/>
        </w:tabs>
        <w:rPr/>
      </w:pPr>
      <w:r>
        <w:rPr>
          <w:rFonts w:cs="Courier New" w:ascii="Courier New" w:hAnsi="Courier New"/>
        </w:rPr>
        <w:tab/>
      </w:r>
      <w:r>
        <w:rPr>
          <w:rFonts w:cs="Courier New" w:ascii="Courier New" w:hAnsi="Courier New"/>
          <w:b/>
        </w:rPr>
        <w:t>Credit Ratings.</w:t>
      </w:r>
      <w:r>
        <w:rPr>
          <w:rFonts w:cs="Courier New" w:ascii="Courier New" w:hAnsi="Courier New"/>
        </w:rPr>
        <w:t xml:space="preserve">  Enron’s credit ratings at September 30, 2001 and the date of this filing are as follows: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sectPr>
          <w:headerReference w:type="default" r:id="rId40"/>
          <w:footerReference w:type="default" r:id="rId41"/>
          <w:type w:val="nextPage"/>
          <w:pgSz w:w="12240" w:h="15840"/>
          <w:pgMar w:left="1800" w:right="1800" w:gutter="0" w:header="720" w:top="776" w:footer="720" w:bottom="776"/>
          <w:pgNumType w:fmt="decimal"/>
          <w:formProt w:val="false"/>
          <w:textDirection w:val="lrTb"/>
          <w:docGrid w:type="default" w:linePitch="360" w:charSpace="0"/>
        </w:sectPr>
      </w:pPr>
    </w:p>
    <w:p>
      <w:pPr>
        <w:pStyle w:val="Normal"/>
        <w:tabs>
          <w:tab w:val="clear" w:pos="720"/>
          <w:tab w:val="left" w:pos="2340" w:leader="none"/>
          <w:tab w:val="center" w:pos="3600" w:leader="none"/>
          <w:tab w:val="center" w:pos="6120" w:leader="none"/>
          <w:tab w:val="center" w:pos="8640" w:leader="none"/>
        </w:tabs>
        <w:ind w:end="-360"/>
        <w:rPr/>
      </w:pPr>
      <w:r>
        <w:rPr>
          <w:rFonts w:cs="Courier New" w:ascii="Courier New" w:hAnsi="Courier New"/>
          <w:sz w:val="18"/>
        </w:rPr>
        <w:tab/>
      </w:r>
      <w:r>
        <w:rPr>
          <w:rFonts w:cs="Courier New" w:ascii="Courier New" w:hAnsi="Courier New"/>
          <w:sz w:val="18"/>
          <w:u w:val="single"/>
        </w:rPr>
        <w:tab/>
        <w:t>Moody’s</w:t>
        <w:tab/>
        <w:t>Standard &amp; Poor’s</w:t>
        <w:tab/>
        <w:t>Fitch</w:t>
        <w:tab/>
        <w:tab/>
      </w:r>
    </w:p>
    <w:p>
      <w:pPr>
        <w:pStyle w:val="Normal"/>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rPr>
          <w:rFonts w:ascii="Courier New" w:hAnsi="Courier New" w:cs="Courier New"/>
          <w:sz w:val="18"/>
        </w:rPr>
      </w:pPr>
      <w:r>
        <w:rPr>
          <w:rFonts w:cs="Courier New" w:ascii="Courier New" w:hAnsi="Courier New"/>
          <w:sz w:val="18"/>
        </w:rPr>
        <w:tab/>
        <w:tab/>
        <w:t>September 30,</w:t>
        <w:tab/>
        <w:tab/>
        <w:t>September 30,</w:t>
        <w:tab/>
        <w:tab/>
        <w:t>September 30,</w:t>
      </w:r>
    </w:p>
    <w:p>
      <w:pPr>
        <w:pStyle w:val="Heading4"/>
        <w:ind w:hanging="0" w:start="0" w:end="-360"/>
        <w:rPr/>
      </w:pPr>
      <w:r>
        <w:rPr/>
        <w:t>Debt Instrument</w:t>
        <w:tab/>
        <w:t>2001</w:t>
        <w:tab/>
        <w:t>Current</w:t>
        <w:tab/>
        <w:t>2001</w:t>
        <w:tab/>
        <w:t>Current</w:t>
        <w:tab/>
        <w:t>2001</w:t>
        <w:tab/>
        <w:t>Current</w:t>
        <w:tab/>
      </w:r>
    </w:p>
    <w:p>
      <w:pPr>
        <w:pStyle w:val="BodyText2"/>
        <w:keepNext w:val="false"/>
        <w:keepLines w:val="false"/>
        <w:tabs>
          <w:tab w:val="clear" w:pos="264"/>
          <w:tab w:val="left" w:pos="540" w:leader="none"/>
        </w:tabs>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Senior unsecured debt</w:t>
        <w:tab/>
        <w:t>Baa1</w:t>
        <w:tab/>
        <w:t>Baa3</w:t>
        <w:tab/>
        <w:t>BBB plus</w:t>
        <w:tab/>
        <w:t>BBB minus</w:t>
        <w:tab/>
        <w:t>BBB plus</w:t>
        <w:tab/>
        <w:t>BBB minus</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Subordinated debt</w:t>
        <w:tab/>
        <w:t>Baa2</w:t>
        <w:tab/>
        <w:t>Ba1</w:t>
        <w:tab/>
        <w:t>BBB</w:t>
        <w:tab/>
        <w:t>BBB minus</w:t>
        <w:tab/>
        <w:t>BBB</w:t>
        <w:tab/>
        <w:t>BB</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Commercial paper</w:t>
        <w:tab/>
        <w:t>P-2</w:t>
        <w:tab/>
        <w:t>Not Prime</w:t>
        <w:tab/>
        <w:t>A-2</w:t>
        <w:tab/>
        <w:t>A-3</w:t>
        <w:tab/>
        <w:t>F2</w:t>
        <w:tab/>
        <w:t>F3</w:t>
      </w:r>
    </w:p>
    <w:p>
      <w:pPr>
        <w:pStyle w:val="BodyText2"/>
        <w:keepNext w:val="false"/>
        <w:keepLines w:val="false"/>
        <w:tabs>
          <w:tab w:val="clear" w:pos="264"/>
          <w:tab w:val="left" w:pos="540" w:leader="none"/>
        </w:tabs>
        <w:rPr>
          <w:sz w:val="20"/>
        </w:rPr>
      </w:pPr>
      <w:r>
        <w:rPr>
          <w:sz w:val="20"/>
        </w:rPr>
      </w:r>
    </w:p>
    <w:p>
      <w:pPr>
        <w:sectPr>
          <w:type w:val="continuous"/>
          <w:pgSz w:w="12240" w:h="15840"/>
          <w:pgMar w:left="1440" w:right="720" w:gutter="0" w:header="720" w:top="776" w:footer="720" w:bottom="776"/>
          <w:formProt w:val="false"/>
          <w:textDirection w:val="lrTb"/>
          <w:docGrid w:type="default" w:linePitch="360" w:charSpace="0"/>
        </w:sectPr>
      </w:pPr>
    </w:p>
    <w:p>
      <w:pPr>
        <w:pStyle w:val="BodyText2"/>
        <w:keepNext w:val="false"/>
        <w:keepLines w:val="false"/>
        <w:tabs>
          <w:tab w:val="clear" w:pos="264"/>
          <w:tab w:val="left" w:pos="540" w:leader="none"/>
        </w:tabs>
        <w:rPr>
          <w:sz w:val="20"/>
        </w:rPr>
      </w:pPr>
      <w:r>
        <w:rPr>
          <w:sz w:val="20"/>
        </w:rPr>
        <w:tab/>
        <w:t>Additionally, each of the above rating agencies have issued warnings that further downgrades were possible.</w:t>
      </w:r>
    </w:p>
    <w:p>
      <w:pPr>
        <w:pStyle w:val="BodyText2"/>
        <w:keepNext w:val="false"/>
        <w:keepLines w:val="false"/>
        <w:tabs>
          <w:tab w:val="clear" w:pos="264"/>
          <w:tab w:val="left" w:pos="540" w:leader="none"/>
        </w:tabs>
        <w:rPr>
          <w:sz w:val="20"/>
        </w:rPr>
      </w:pPr>
      <w:r>
        <w:rPr>
          <w:sz w:val="20"/>
        </w:rPr>
      </w:r>
    </w:p>
    <w:p>
      <w:pPr>
        <w:pStyle w:val="Heading1"/>
        <w:tabs>
          <w:tab w:val="clear" w:pos="720"/>
          <w:tab w:val="left" w:pos="540" w:leader="none"/>
        </w:tabs>
        <w:ind w:hanging="0" w:start="0"/>
        <w:rPr/>
      </w:pPr>
      <w:r>
        <w:rPr/>
        <w:tab/>
        <w:t xml:space="preserve">Unconsolidated Equity Affiliates.  </w:t>
      </w:r>
      <w:r>
        <w:rPr>
          <w:b w:val="false"/>
          <w:bCs/>
        </w:rPr>
        <w:t>Summarized below is a description related to two of Enron’s unconsolidated equity affiliates for which Enron has committed to issue equity to satisfy obligations of these equity affiliates.  As discussed in Note 2, Enron’s current common share stock price, liquidity situation and credit ratings may significantly impact Enron’s ability to satisfy these obligations solely with equity issuances.</w:t>
      </w:r>
    </w:p>
    <w:p>
      <w:pPr>
        <w:pStyle w:val="Normal"/>
        <w:tabs>
          <w:tab w:val="clear" w:pos="720"/>
          <w:tab w:val="left" w:pos="540" w:leader="none"/>
        </w:tabs>
        <w:rPr>
          <w:rFonts w:ascii="Courier New" w:hAnsi="Courier New" w:cs="Courier New"/>
          <w:b/>
          <w:bCs/>
        </w:rPr>
      </w:pPr>
      <w:r>
        <w:rPr>
          <w:rFonts w:cs="Courier New" w:ascii="Courier New" w:hAnsi="Courier New"/>
          <w:b/>
          <w:bCs/>
        </w:rPr>
      </w:r>
    </w:p>
    <w:p>
      <w:pPr>
        <w:pStyle w:val="Normal"/>
        <w:tabs>
          <w:tab w:val="clear" w:pos="720"/>
          <w:tab w:val="left" w:pos="540" w:leader="none"/>
        </w:tabs>
        <w:rPr/>
      </w:pPr>
      <w:r>
        <w:rPr>
          <w:rFonts w:cs="Courier New" w:ascii="Courier New" w:hAnsi="Courier New"/>
          <w:bCs/>
          <w:i/>
          <w:iCs/>
        </w:rPr>
        <w:tab/>
        <w:t>Whitewing Associates L.P.</w:t>
      </w:r>
      <w:r>
        <w:rPr>
          <w:rFonts w:cs="Courier New" w:ascii="Courier New" w:hAnsi="Courier New"/>
          <w:b/>
        </w:rPr>
        <w:t xml:space="preserve">  </w:t>
      </w:r>
      <w:r>
        <w:rPr>
          <w:rFonts w:cs="Courier New" w:ascii="Courier New" w:hAnsi="Courier New"/>
        </w:rPr>
        <w:t>Whitewing is an entity formed by Enron and various investors, investing through an entity named Osprey, to acquire and own energy-related assets and other investments.  Whitewing currently holds assets with a book basis of approximately $2.1 billion.  This includes $1.3 billion in energy related projects in Europe and South America, including European power plants, an electric distribution company in Brazil and $800 million of merchant investments.  The merchant portfolio includes both private and publicly traded entities and consists of oil and gas investments (40%), power generation and energy investments (45%) and technology related and other investments (15%).  Osprey was capitalized with $2.4 billion in debt and $220 million in equity.  The Osprey debt is supported by the assets within Whitewing, Enron’s Mandatorily Convertible Junior Preferred Stock, Series B (which is convertible into 50 million shares of Enron common stock) and a contingent obligation of Enron to issue additional shares, if needed, to retire such debt obligation.  In the event that the sale of equity is not sufficient to retire such obligations, Enron is liable for the shortfall.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Cs/>
          <w:i/>
          <w:iCs/>
        </w:rPr>
        <w:tab/>
        <w:t>Atlantic Water Trust.</w:t>
      </w:r>
      <w:r>
        <w:rPr>
          <w:rFonts w:cs="Courier New" w:ascii="Courier New" w:hAnsi="Courier New"/>
          <w:b/>
        </w:rPr>
        <w:t xml:space="preserve">  </w:t>
      </w:r>
      <w:r>
        <w:rPr>
          <w:rFonts w:cs="Courier New" w:ascii="Courier New" w:hAnsi="Courier New"/>
        </w:rPr>
        <w:t>Atlantic Water Trust is an entity formed by Enron and unrelated institutional investors, investing through an entity named Marlin Water Trust (Marlin), for the purpose of acquiring and holding an interest in Azurix Corp. (Azurix).  The primary asset of Azurix is Wessex,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Cs/>
          <w:i/>
          <w:iCs/>
        </w:rPr>
        <w:tab/>
        <w:t>Description of Trigger Events.</w:t>
      </w:r>
      <w:r>
        <w:rPr>
          <w:rFonts w:cs="Courier New" w:ascii="Courier New" w:hAnsi="Courier New"/>
        </w:rPr>
        <w:t xml:space="preser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or below in the case of Osprey and $34.13 per share or below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a Note Trigger Event was to occur, Enron has 21 days to file a registration statement for the issuance of equity to repay the notes and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addition, the Dynegy merger agreement precludes equity issuances over $2 billion without Dynegy’s consent.  In the event that Enron does not file its registration statement or the registration statement is not effective during the respective time requirements, Enron must pursue a private placement of equity, if permitted.  If Enron does not sell equity in an amount sufficient to repay the notes, Enron is obligated to immediately pay the difference in cash.  In the event that Enron fails to repay these commitments described above or is unable to obtain a waiver of such obligations, a series of events would begin which could impact Enron’s compliance with the terms of its Revolving Credit Agreements and certain other obligations, including bank debt facilities.  </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b/>
        <w:t>Either as a result of the restructuring plan discussed in Note 2 or to raise cash to repay Enron’s obligations discussed above, Enron may sell the assets of Whitewing and/or Atlantic Water Trusts for amounts below their carrying values.  The net proceeds from the sale of such assets can be used to repay Enron’s obligations discussed above.  Accordingly, Enron may be required to record asset writedowns, possibly as early as the fourth quarter of 2001.</w:t>
      </w:r>
    </w:p>
    <w:p>
      <w:pPr>
        <w:pStyle w:val="Footer"/>
        <w:numPr>
          <w:ilvl w:val="0"/>
          <w:numId w:val="0"/>
        </w:numPr>
        <w:tabs>
          <w:tab w:val="clear" w:pos="4320"/>
          <w:tab w:val="clear" w:pos="8640"/>
          <w:tab w:val="left" w:pos="540" w:leader="none"/>
        </w:tabs>
        <w:outlineLvl w:val="0"/>
        <w:rPr>
          <w:rFonts w:ascii="Courier New" w:hAnsi="Courier New" w:cs="Courier New"/>
          <w:bCs/>
        </w:rPr>
      </w:pPr>
      <w:r>
        <w:rPr>
          <w:rFonts w:cs="Courier New" w:ascii="Courier New" w:hAnsi="Courier New"/>
          <w:bCs/>
        </w:rPr>
      </w:r>
    </w:p>
    <w:p>
      <w:pPr>
        <w:pStyle w:val="Normal"/>
        <w:tabs>
          <w:tab w:val="clear" w:pos="720"/>
          <w:tab w:val="left" w:pos="540" w:leader="none"/>
        </w:tabs>
        <w:rPr/>
      </w:pPr>
      <w:r>
        <w:rPr>
          <w:rFonts w:cs="Courier New" w:ascii="Courier New" w:hAnsi="Courier New"/>
          <w:b/>
        </w:rPr>
        <w:tab/>
        <w:t xml:space="preserve">Minority Interests.  </w:t>
      </w:r>
      <w:r>
        <w:rPr>
          <w:rFonts w:cs="Courier New" w:ascii="Courier New" w:hAnsi="Courier New"/>
        </w:rPr>
        <w:t xml:space="preserve">Enron consolidates a limited partnership (the Limited Partnership), for which the consolidated third party’s ownership interest is reflected in minority interests on Enron’s balance sheet in the amount of $691 million at September 30, 2001.  The Limited Partnership assets include a $690 million note payable from Enron and certain merchant investments, both domestic and international.  Enron anticipates the receipt of $250 million from the sale of one of the Limited Partnership’s investments, a local gas distribution company in Brazil, upon the closing of the sale which is pending certain regulatory and other approvals.  Enron may be required to use the net proceeds upon the closing of the sale, or a portion thereon, to repay the note payable.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November 12, 2001 downgrade in Enron’s senior unsecured debt rating to BBB- by Standard &amp; Poor’s has caused a ratings event related to the Limited Partnership.  This ratings event started a nine business day period during which Enron has the right, until November 26, 2001, to either post an unsecured letter of credit equal to Enron’s note payable or to purchase the investors’ interest in the Limited Partnership.  To the extent that Enron does not satisfy this requirement by November 26, 2001, the investors have the right to demand Enron immediately repay the note payable.  Additionally, as a result of the rating downgrade, the investors, subject to certain actions, are able to immediately begin the Limited Partnership asset liquidation process.  Consistent with the restructuring plan discussed in Note 2, Enron is currently working with the lenders to develop a mutually acceptable amendment to the transaction in order to avoid an early Enron payment obligation.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that Enron fails to repay or collateralize its obligation under this commitment or is unable to refinance or obtain a waiver of its obligation, a series of events would begin which could impact Enron’s compliance with the terms of its Revolving Credit Agreements and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Either as a result of the restructuring plan discussed in Note 2 or to raise cash to repay Enron’s obligation discussed above, Enron may sell the Limited Partnership assets for amounts below their carrying values.  The net proceeds from the sale of such assets can be used to repay Enron’s obligation.  Accordingly, Enron may be required to record asset writedowns, possibly as early as the fourth quarter of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It is not possible to predict whether Enron will be able to favorably complete the actions described above.  An adverse outcome with respect to any of these matters could have a material adverse impact on Enron’s ability to continue as a going concern.</w:t>
      </w:r>
    </w:p>
    <w:p>
      <w:pPr>
        <w:pStyle w:val="Footer"/>
        <w:tabs>
          <w:tab w:val="clear" w:pos="4320"/>
          <w:tab w:val="clear" w:pos="8640"/>
          <w:tab w:val="left" w:pos="540" w:leader="none"/>
        </w:tabs>
        <w:rPr>
          <w:rFonts w:ascii="Courier New" w:hAnsi="Courier New" w:cs="Courier New"/>
          <w:bCs/>
        </w:rPr>
      </w:pPr>
      <w:r>
        <w:rPr>
          <w:rFonts w:cs="Courier New" w:ascii="Courier New" w:hAnsi="Courier New"/>
          <w:bCs/>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Capitalization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As discussed above in “Liquidity, Capital Resources and Outlook,” since September 30, 2001, Enron has borrowed from committed lines of credit and new secured lines of credit and received an equity infusion from Dynegy.  These events have increased Enron’s debt as a percentage of total capitalization.</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Total capitalization at September 30, 2001 was $___ billion. Debt as a percentage of total capitalization increased to 50.5% at September 30, 2001 as compared to ___% at December 31, 2000. The increase in the ratio reflects increased debt levels, including the issuance in January 2001 of $1.25 billion of notes payable and increased net short-term borrowings in 2001 and the transactions with LJM discussed in Note [___] to the Consolidated Financial Statements and the impact of the decline in value of certain foreign currencies, partially offset by earnings.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Enron’s Wholesale segments, Americas and Europe and Other, offer price risk management services primarily related to commodities associated with the energy sector (natural gas, crude oil, natural gas liquids and electricity).  Enron’s other businesses also enter into forwards, swaps and other contracts primarily for the purpose of hedging the impact of market fluctuations on assets, liabilities, production and other contractual commitments.  Enron utilizes value at risk measures that assume a one-day holding period and a 95% confidence level.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Summarized below illustrates the value at risk for each component of market risk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5400" w:leader="none"/>
          <w:tab w:val="center" w:pos="7200" w:leader="none"/>
        </w:tabs>
        <w:rPr>
          <w:rFonts w:ascii="Courier New" w:hAnsi="Courier New" w:cs="Courier New"/>
        </w:rPr>
      </w:pPr>
      <w:r>
        <w:rPr>
          <w:rFonts w:cs="Courier New" w:ascii="Courier New" w:hAnsi="Courier New"/>
        </w:rPr>
        <w:tab/>
        <w:tab/>
        <w:t>September 30,</w:t>
        <w:tab/>
        <w:t>December 31,</w:t>
      </w:r>
    </w:p>
    <w:p>
      <w:pPr>
        <w:pStyle w:val="Normal"/>
        <w:tabs>
          <w:tab w:val="clear" w:pos="720"/>
          <w:tab w:val="left" w:pos="540" w:leader="none"/>
          <w:tab w:val="left" w:pos="4500" w:leader="none"/>
          <w:tab w:val="center" w:pos="5400" w:leader="none"/>
          <w:tab w:val="center" w:pos="7200" w:leader="none"/>
          <w:tab w:val="left" w:pos="8100" w:leader="none"/>
        </w:tabs>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rFonts w:ascii="Courier New" w:hAnsi="Courier New" w:cs="Courier New"/>
        </w:rPr>
      </w:pPr>
      <w:r>
        <w:rPr>
          <w:rFonts w:cs="Courier New" w:ascii="Courier New" w:hAnsi="Courier New"/>
        </w:rPr>
        <w:t>Total Market Risk:</w:t>
      </w:r>
    </w:p>
    <w:p>
      <w:pPr>
        <w:pStyle w:val="Footer"/>
        <w:tabs>
          <w:tab w:val="clear" w:pos="4320"/>
          <w:tab w:val="clear" w:pos="8640"/>
          <w:tab w:val="left" w:pos="360" w:leader="none"/>
          <w:tab w:val="decimal" w:pos="5580" w:leader="none"/>
          <w:tab w:val="decimal" w:pos="7380" w:leader="none"/>
        </w:tabs>
        <w:rPr>
          <w:rFonts w:ascii="Courier New" w:hAnsi="Courier New" w:cs="Courier New"/>
        </w:rPr>
      </w:pPr>
      <w:r>
        <w:rPr>
          <w:rFonts w:cs="Courier New" w:ascii="Courier New" w:hAnsi="Courier New"/>
        </w:rPr>
        <w:tab/>
        <w:t>Commodity price</w:t>
        <w:tab/>
        <w:tab/>
        <w:t>$ 66</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ab/>
        <w:t>Interest rate</w:t>
        <w:tab/>
        <w:tab/>
        <w:t>-</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ab/>
        <w:t>Foreign currency exchange rate</w:t>
        <w:tab/>
        <w:tab/>
        <w:t>-</w:t>
      </w:r>
    </w:p>
    <w:p>
      <w:pPr>
        <w:pStyle w:val="Footer"/>
        <w:tabs>
          <w:tab w:val="clear" w:pos="4320"/>
          <w:tab w:val="clear" w:pos="8640"/>
          <w:tab w:val="left" w:pos="360" w:leader="none"/>
          <w:tab w:val="decimal" w:pos="5580" w:leader="none"/>
          <w:tab w:val="decimal" w:pos="7380" w:leader="none"/>
        </w:tabs>
        <w:rPr>
          <w:rFonts w:ascii="Courier New" w:hAnsi="Courier New" w:cs="Courier New"/>
        </w:rPr>
      </w:pPr>
      <w:r>
        <w:rPr>
          <w:rFonts w:cs="Courier New" w:ascii="Courier New" w:hAnsi="Courier New"/>
        </w:rPr>
        <w:tab/>
        <w:t>Equity</w:t>
        <w:tab/>
        <w:tab/>
        <w:t>-</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Non-Trading Market Risk:</w:t>
      </w:r>
    </w:p>
    <w:p>
      <w:pPr>
        <w:pStyle w:val="Footer"/>
        <w:tabs>
          <w:tab w:val="clear" w:pos="4320"/>
          <w:tab w:val="clear" w:pos="8640"/>
          <w:tab w:val="left" w:pos="360" w:leader="none"/>
          <w:tab w:val="decimal" w:pos="5580" w:leader="none"/>
          <w:tab w:val="decimal" w:pos="7380" w:leader="none"/>
        </w:tabs>
        <w:rPr>
          <w:rFonts w:ascii="Courier New" w:hAnsi="Courier New" w:cs="Courier New"/>
        </w:rPr>
      </w:pPr>
      <w:r>
        <w:rPr>
          <w:rFonts w:cs="Courier New" w:ascii="Courier New" w:hAnsi="Courier New"/>
        </w:rPr>
        <w:tab/>
        <w:t>Commodity price</w:t>
        <w:tab/>
        <w:tab/>
        <w:t>2</w:t>
      </w:r>
    </w:p>
    <w:p>
      <w:pPr>
        <w:pStyle w:val="Normal"/>
        <w:tabs>
          <w:tab w:val="clear" w:pos="720"/>
          <w:tab w:val="left" w:pos="360" w:leader="none"/>
          <w:tab w:val="decimal" w:pos="5580" w:leader="none"/>
          <w:tab w:val="decimal" w:pos="7380" w:leader="none"/>
        </w:tabs>
        <w:rPr/>
      </w:pPr>
      <w:r>
        <w:rPr>
          <w:rFonts w:cs="Courier New" w:ascii="Courier New" w:hAnsi="Courier New"/>
        </w:rPr>
        <w:tab/>
        <w:t>Interest rate</w:t>
        <w:tab/>
        <w:t>7</w:t>
      </w:r>
      <w:r>
        <w:rPr>
          <w:rFonts w:cs="Courier New" w:ascii="Courier New" w:hAnsi="Courier New"/>
          <w:sz w:val="16"/>
        </w:rPr>
        <w:t>(a)</w:t>
      </w:r>
      <w:r>
        <w:rPr>
          <w:rFonts w:cs="Courier New" w:ascii="Courier New" w:hAnsi="Courier New"/>
        </w:rPr>
        <w:tab/>
        <w:t>-</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ab/>
        <w:t>Foreign currency exchange rate</w:t>
        <w:tab/>
        <w:tab/>
        <w:t>8</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ab/>
        <w:t>Equity</w:t>
        <w:tab/>
        <w:tab/>
        <w:t>7</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r>
    </w:p>
    <w:p>
      <w:pPr>
        <w:pStyle w:val="BodyTextIndent2"/>
        <w:tabs>
          <w:tab w:val="clear" w:pos="6480"/>
          <w:tab w:val="clear" w:pos="7920"/>
          <w:tab w:val="left" w:pos="360" w:leader="none"/>
          <w:tab w:val="decimal" w:pos="5760" w:leader="none"/>
          <w:tab w:val="decimal" w:pos="7380" w:leader="none"/>
        </w:tabs>
        <w:rPr/>
      </w:pPr>
      <w:r>
        <w:rPr/>
        <w:t>(a)</w:t>
        <w:tab/>
        <w:t>This increase is a result of contracts to hedge interest rate risks associated with Yen-denominated notes issued by Enron during 2000.</w:t>
      </w:r>
    </w:p>
    <w:p>
      <w:pPr>
        <w:sectPr>
          <w:type w:val="continuous"/>
          <w:pgSz w:w="12240" w:h="15840"/>
          <w:pgMar w:left="1800" w:right="1800" w:gutter="0" w:header="720" w:top="776" w:footer="720" w:bottom="776"/>
          <w:formProt w:val="false"/>
          <w:textDirection w:val="lrTb"/>
          <w:docGrid w:type="default" w:linePitch="360" w:charSpace="0"/>
        </w:sectPr>
      </w:pPr>
    </w:p>
    <w:p>
      <w:pPr>
        <w:pStyle w:val="Normal"/>
        <w:numPr>
          <w:ilvl w:val="0"/>
          <w:numId w:val="0"/>
        </w:numPr>
        <w:tabs>
          <w:tab w:val="clear" w:pos="720"/>
          <w:tab w:val="left" w:pos="540" w:leader="none"/>
          <w:tab w:val="decimal" w:pos="5940" w:leader="none"/>
          <w:tab w:val="decimal" w:pos="7380" w:leader="none"/>
        </w:tabs>
        <w:jc w:val="both"/>
        <w:outlineLvl w:val="0"/>
        <w:rPr>
          <w:rFonts w:ascii="Courier New" w:hAnsi="Courier New" w:cs="Courier New"/>
          <w:b/>
          <w:u w:val="single"/>
        </w:rPr>
      </w:pPr>
      <w:r>
        <w:rPr>
          <w:rFonts w:cs="Courier New" w:ascii="Courier New" w:hAnsi="Courier New"/>
          <w:b/>
          <w:u w:val="single"/>
        </w:rPr>
        <w:t>INFORMATION REGARDING FORWARD LOOKING STATEMENTS</w:t>
      </w:r>
    </w:p>
    <w:p>
      <w:pPr>
        <w:pStyle w:val="Normal"/>
        <w:tabs>
          <w:tab w:val="clear" w:pos="720"/>
          <w:tab w:val="left" w:pos="540" w:leader="none"/>
          <w:tab w:val="decimal" w:pos="5940" w:leader="none"/>
          <w:tab w:val="decimal" w:pos="7380" w:leader="none"/>
        </w:tabs>
        <w:jc w:val="both"/>
        <w:rPr>
          <w:rFonts w:ascii="Courier New" w:hAnsi="Courier New" w:cs="Courier New"/>
          <w:b/>
          <w:u w:val="single"/>
        </w:rPr>
      </w:pPr>
      <w:r>
        <w:rPr>
          <w:rFonts w:cs="Courier New" w:ascii="Courier New" w:hAnsi="Courier New"/>
          <w:b/>
          <w:u w:val="single"/>
        </w:rPr>
      </w:r>
    </w:p>
    <w:p>
      <w:p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tab/>
        <w:t xml:space="preserve">This Report and the Form 10-K include forward-looking statements within the meaning of Section 27A of the Securities Act of 1933 and Section 21E of the Securities Exchange Act of 1934.  All statements other than statements of historical facts contained in these documents are forward-looking statements.  Forward-looking statements include, but are not limited to, statements relating to expansion opportunities for the Transportation Services, extension of Enron’s business model to new markets and industries, transaction volumes in the U.S. power market, commencement of commercial operations of new power plants and pipeline projects, completion of the sale of certain assets, growth in the demand for retail energy outsourcing solutions, completion of the merger with Dynegy and completion of Enron’s action plan for restructuring its businesses.  When used in this document, the words “anticipate,” “believe,” “estimate,” “expects,” “intend,” “may,” “project,” “plan,” “should” and similar expressions are intended to be among the statements that identify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Enron’s ability to maintain an investment grade credit rating; Enron’s ability to implement its action plan for restructuring its businesses outlined in this Form 10-Q; Enron’s ability to complete its merger with Dynegy, as well as the sale of certain assets; developments in and the outcome of pending litigation; the effectiveness of Enron’s risk management activities; willingness of counterparties to engage in financial risk management and other contracts with Enron without requiring collateral for obligations or increasing existing collateral requirements;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the credit ratings for its unsecured senior long-term debt obligations; success in marketing natural gas and power to wholesale customers; the ability of Enron to penetrate new retail natural gas and electricity markets (including energy outsourcing markets) in the United States and foreign jurisdictions; the timing, extent and market effects of deregulation of energy markets in the United States, including the current energy market conditions in California, and in foreign jurisdictions; other regulatory developments in the United States and in foreign countries, including tax legislation and regulations; political developments in foreign countries; the extent of efforts by governments to privatize natural gas and electric utilities and other industries; the timing and extent of changes in commodity prices for crude oil, natural gas, electricity, foreign currency and interest rates; the timing and success of Enron’s efforts to develop international power, pipeline and other infrastructure projects.  </w:t>
      </w:r>
    </w:p>
    <w:p>
      <w:pPr>
        <w:sectPr>
          <w:headerReference w:type="default" r:id="rId42"/>
          <w:footerReference w:type="default" r:id="rId43"/>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PART II.  OTHER INFORMATION</w:t>
      </w:r>
    </w:p>
    <w:p>
      <w:pPr>
        <w:pStyle w:val="Normal"/>
        <w:jc w:val="center"/>
        <w:rPr>
          <w:rFonts w:ascii="Courier New" w:hAnsi="Courier New" w:cs="Courier New"/>
          <w:b/>
          <w:sz w:val="22"/>
        </w:rPr>
      </w:pPr>
      <w:r>
        <w:rPr>
          <w:rFonts w:cs="Courier New" w:ascii="Courier New" w:hAnsi="Courier New"/>
          <w:b/>
          <w:sz w:val="22"/>
        </w:rPr>
        <w:t>ENRON CORP. AND SUBSIDIARIES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jc w:val="both"/>
        <w:outlineLvl w:val="0"/>
        <w:rPr>
          <w:rFonts w:ascii="Courier New" w:hAnsi="Courier New" w:cs="Courier New"/>
        </w:rPr>
      </w:pPr>
      <w:r>
        <w:rPr>
          <w:rFonts w:cs="Courier New" w:ascii="Courier New" w:hAnsi="Courier New"/>
        </w:rPr>
        <w:t>ITEM 1. Legal Proceedings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See Part I. Item 1, Note 6 to Consolidated Financial Statements entitled “Litigation and Other Contingencies,” which is incorporated herein by reference.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ITEM 6. Exhibits and Reports on Form 8-K</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w:t>
        <w:tab/>
        <w:t>Exhibits.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ind w:hanging="540" w:start="540" w:end="0"/>
        <w:rPr>
          <w:rFonts w:ascii="Courier New" w:hAnsi="Courier New" w:cs="Courier New"/>
        </w:rPr>
      </w:pPr>
      <w:r>
        <w:rPr>
          <w:rFonts w:cs="Courier New" w:ascii="Courier New" w:hAnsi="Courier New"/>
        </w:rPr>
        <w:tab/>
        <w:t>Exhibit 10</w:t>
        <w:tab/>
        <w:t>Amendment No. ___ to Employment Agreement between Enron Corp. and Kenneth L. Lay dated August ___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tab/>
        <w:t>Exhibit 12</w:t>
        <w:tab/>
        <w:t>Computation of Ratio of Earnings to Fixed Charges</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(b)</w:t>
        <w:tab/>
        <w:t>Reports on Form 8-K</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ab/>
        <w:t>Current Report on Form 8-K filed November 8, 2001, containing information concerning (i) requirement of prior year financial statements to be restated, (ii) the Special Committee appointed by Enron’s Board of Directors to review transactions between Enron and related parties and (iii) transactions between Enron and other Enron employees.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Current Report on Form 8-K filed November 13, 2001, containing information concerning credit facility commitment letters for Transwestern Pipeline Company and Northern Natural Gas Company.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Current Report on Form 8-K filed November 14, 2001, containing information concerning the proposed merger between Enron Corp. and Dynegy Inc.</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SIGNATURES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 xml:space="preserve">Pursuant to the requirements of the Securities Exchange Act of 1934, the Registrant has duly caused this report to be signed on its behalf by the undersigned thereunto duly authorized.  </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3960" w:leader="none"/>
          <w:tab w:val="left" w:pos="4500" w:leader="none"/>
        </w:tabs>
        <w:outlineLvl w:val="0"/>
        <w:rPr/>
      </w:pPr>
      <w:r>
        <w:rPr>
          <w:rFonts w:cs="Courier New" w:ascii="Courier New" w:hAnsi="Courier New"/>
        </w:rPr>
        <w:tab/>
        <w:tab/>
        <w:tab/>
      </w:r>
      <w:r>
        <w:rPr>
          <w:rFonts w:cs="Courier New" w:ascii="Courier New" w:hAnsi="Courier New"/>
          <w:b/>
        </w:rPr>
        <w:t>ENRON CORP.</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ab/>
        <w:tab/>
        <w:t>(Registrant)</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 w:val="left" w:pos="4860" w:leader="none"/>
          <w:tab w:val="left" w:pos="8460" w:leader="none"/>
        </w:tabs>
        <w:rPr>
          <w:rFonts w:ascii="Courier New" w:hAnsi="Courier New" w:cs="Courier New"/>
        </w:rPr>
      </w:pPr>
      <w:r>
        <w:rPr>
          <w:rFonts w:cs="Courier New" w:ascii="Courier New" w:hAnsi="Courier New"/>
        </w:rPr>
        <w:t>Date:  November 19, 2001</w:t>
        <w:tab/>
        <w:t>By:</w:t>
        <w:tab/>
      </w:r>
      <w:r>
        <w:rPr>
          <w:rFonts w:cs="Courier New" w:ascii="Courier New" w:hAnsi="Courier New"/>
          <w:caps/>
          <w:u w:val="single"/>
        </w:rPr>
        <w:t>Richard A. Causey</w:t>
      </w:r>
      <w:r>
        <w:rPr>
          <w:rFonts w:cs="Courier New" w:ascii="Courier New" w:hAnsi="Courier New"/>
          <w:u w:val="single"/>
        </w:rPr>
        <w:tab/>
        <w:tab/>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Richard A. Causey</w:t>
      </w:r>
    </w:p>
    <w:p>
      <w:pPr>
        <w:pStyle w:val="Normal"/>
        <w:numPr>
          <w:ilvl w:val="0"/>
          <w:numId w:val="0"/>
        </w:numPr>
        <w:tabs>
          <w:tab w:val="clear" w:pos="720"/>
          <w:tab w:val="left" w:pos="540" w:leader="none"/>
          <w:tab w:val="left" w:pos="3960" w:leader="none"/>
          <w:tab w:val="left" w:pos="4500" w:leader="none"/>
          <w:tab w:val="left" w:pos="4860" w:leader="none"/>
          <w:tab w:val="left" w:pos="7200" w:leader="none"/>
        </w:tabs>
        <w:ind w:end="-180"/>
        <w:outlineLvl w:val="0"/>
        <w:rPr>
          <w:rFonts w:ascii="Courier New" w:hAnsi="Courier New" w:cs="Courier New"/>
        </w:rPr>
      </w:pPr>
      <w:r>
        <w:rPr>
          <w:rFonts w:cs="Courier New" w:ascii="Courier New" w:hAnsi="Courier New"/>
        </w:rPr>
        <w:tab/>
        <w:tab/>
        <w:tab/>
        <w:t>Executive Vice President and Chief</w:t>
      </w:r>
    </w:p>
    <w:p>
      <w:pPr>
        <w:pStyle w:val="Normal"/>
        <w:tabs>
          <w:tab w:val="clear" w:pos="720"/>
          <w:tab w:val="left" w:pos="540" w:leader="none"/>
          <w:tab w:val="left" w:pos="3960" w:leader="none"/>
          <w:tab w:val="left" w:pos="4500" w:leader="none"/>
          <w:tab w:val="left" w:pos="4860" w:leader="none"/>
          <w:tab w:val="left" w:pos="7200" w:leader="none"/>
        </w:tabs>
        <w:ind w:end="-180"/>
        <w:rPr>
          <w:rFonts w:ascii="Courier New" w:hAnsi="Courier New" w:cs="Courier New"/>
        </w:rPr>
      </w:pPr>
      <w:r>
        <w:rPr>
          <w:rFonts w:cs="Courier New" w:ascii="Courier New" w:hAnsi="Courier New"/>
        </w:rPr>
        <w:tab/>
        <w:tab/>
        <w:tab/>
        <w:t xml:space="preserve">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(Principal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r>
    </w:p>
    <w:sectPr>
      <w:headerReference w:type="default" r:id="rId44"/>
      <w:headerReference w:type="first" r:id="rId45"/>
      <w:footerReference w:type="default" r:id="rId46"/>
      <w:footerReference w:type="first" r:id="rId4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1)">
    <w:altName w:val="Times New Roman"/>
    <w:charset w:val="00" w:characterSet="windows-1252"/>
    <w:family w:val="roman"/>
    <w:pitch w:val="variable"/>
  </w:font>
  <w:font w:name="Book Antiqua">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8270"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6.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28270"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128270"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(Concluded)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(Continued)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(Concluded)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(Concluded)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840"/>
        </w:tabs>
        <w:ind w:start="840" w:hanging="48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2"/>
      <w:numFmt w:val="lowerLetter"/>
      <w:lvlText w:val="(%1)"/>
      <w:lvlJc w:val="start"/>
      <w:pPr>
        <w:tabs>
          <w:tab w:val="num" w:pos="540"/>
        </w:tabs>
        <w:ind w:start="540" w:hanging="540"/>
      </w:pPr>
      <w:rPr/>
    </w:lvl>
  </w:abstractNum>
  <w:abstractNum w:abstractNumId="6">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Symbol" w:hAnsi="Symbol" w:cs="Symbol"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rPr>
  </w:style>
  <w:style w:type="paragraph" w:styleId="Heading2">
    <w:name w:val="heading 2"/>
    <w:basedOn w:val="Normal"/>
    <w:next w:val="Normal"/>
    <w:qFormat/>
    <w:pPr>
      <w:keepNext w:val="true"/>
      <w:numPr>
        <w:ilvl w:val="1"/>
        <w:numId w:val="1"/>
      </w:numPr>
      <w:ind w:firstLine="720" w:start="0" w:end="0"/>
      <w:outlineLvl w:val="1"/>
    </w:pPr>
    <w:rPr>
      <w:rFonts w:ascii="Courier New" w:hAnsi="Courier New" w:cs="Courier New"/>
      <w:b/>
    </w:rPr>
  </w:style>
  <w:style w:type="paragraph" w:styleId="Heading3">
    <w:name w:val="heading 3"/>
    <w:basedOn w:val="Normal"/>
    <w:next w:val="Normal"/>
    <w:qFormat/>
    <w:pPr>
      <w:keepNext w:val="true"/>
      <w:numPr>
        <w:ilvl w:val="2"/>
        <w:numId w:val="1"/>
      </w:numPr>
      <w:jc w:val="center"/>
      <w:outlineLvl w:val="2"/>
    </w:pPr>
    <w:rPr>
      <w:rFonts w:ascii="Courier New" w:hAnsi="Courier New" w:cs="Courier New"/>
      <w:b/>
      <w:sz w:val="22"/>
    </w:rPr>
  </w:style>
  <w:style w:type="paragraph" w:styleId="Heading4">
    <w:name w:val="heading 4"/>
    <w:basedOn w:val="Normal"/>
    <w:next w:val="Normal"/>
    <w:qFormat/>
    <w:pPr>
      <w:keepNext w:val="true"/>
      <w:numPr>
        <w:ilvl w:val="3"/>
        <w:numId w:val="1"/>
      </w:numPr>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paragraph" w:styleId="Heading6">
    <w:name w:val="heading 6"/>
    <w:basedOn w:val="Normal"/>
    <w:next w:val="Normal"/>
    <w:qFormat/>
    <w:pPr>
      <w:keepNext w:val="true"/>
      <w:numPr>
        <w:ilvl w:val="5"/>
        <w:numId w:val="1"/>
      </w:numPr>
      <w:tabs>
        <w:tab w:val="clear" w:pos="720"/>
        <w:tab w:val="left" w:pos="540" w:leader="none"/>
        <w:tab w:val="decimal" w:pos="4320" w:leader="none"/>
        <w:tab w:val="decimal" w:pos="5580" w:leader="none"/>
        <w:tab w:val="decimal" w:pos="6840" w:leader="none"/>
        <w:tab w:val="decimal" w:pos="8100" w:leader="none"/>
      </w:tabs>
      <w:jc w:val="both"/>
      <w:outlineLvl w:val="5"/>
    </w:pPr>
    <w:rPr>
      <w:rFonts w:ascii="Courier New" w:hAnsi="Courier New" w:cs="Courier New"/>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5">
    <w:name w:val="WW8Num21z5"/>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8"/>
      </w:numPr>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ECFORM10QText">
    <w:name w:val="SEC FORM10QText"/>
    <w:basedOn w:val="Normal"/>
    <w:qFormat/>
    <w:pPr>
      <w:spacing w:before="0" w:after="120"/>
      <w:ind w:firstLine="360" w:start="0" w:end="0"/>
    </w:pPr>
    <w:rPr>
      <w:rFonts w:ascii="CG Times (W1);Times New Roman" w:hAnsi="CG Times (W1);Times New Roman" w:cs="CG Times (W1);Times New Roman"/>
      <w:lang w:val="en-CA" w:eastAsia="en-CA"/>
    </w:rPr>
  </w:style>
  <w:style w:type="paragraph" w:styleId="SECPgHeadings">
    <w:name w:val="SEC Pg Headings"/>
    <w:basedOn w:val="Normal"/>
    <w:qFormat/>
    <w:pPr>
      <w:jc w:val="center"/>
    </w:pPr>
    <w:rPr>
      <w:rFonts w:ascii="Arial" w:hAnsi="Arial" w:cs="Arial"/>
      <w:b/>
    </w:rPr>
  </w:style>
  <w:style w:type="paragraph" w:styleId="SECPgHeadings2">
    <w:name w:val="SEC Pg Headings2"/>
    <w:basedOn w:val="Normal"/>
    <w:qFormat/>
    <w:pPr>
      <w:tabs>
        <w:tab w:val="clear" w:pos="720"/>
        <w:tab w:val="right" w:pos="7200" w:leader="none"/>
        <w:tab w:val="right" w:pos="8370" w:leader="none"/>
        <w:tab w:val="right" w:pos="9540" w:leader="none"/>
        <w:tab w:val="right" w:pos="10710" w:leader="none"/>
      </w:tabs>
      <w:jc w:val="center"/>
    </w:pPr>
    <w:rPr>
      <w:rFonts w:ascii="Arial" w:hAnsi="Arial" w:cs="Arial"/>
      <w:b/>
      <w:sz w:val="18"/>
    </w:rPr>
  </w:style>
  <w:style w:type="paragraph" w:styleId="box">
    <w:name w:val="box"/>
    <w:basedOn w:val="Normal"/>
    <w:qFormat/>
    <w:pPr>
      <w:widowControl w:val="false"/>
      <w:spacing w:before="0" w:after="120"/>
      <w:ind w:hanging="245" w:start="245" w:end="0"/>
    </w:pPr>
    <w:rPr>
      <w:rFonts w:ascii="Book Antiqua" w:hAnsi="Book Antiqua" w:cs="Book Antiqua"/>
    </w:rPr>
  </w:style>
  <w:style w:type="paragraph" w:styleId="ix">
    <w:name w:val="ix"/>
    <w:basedOn w:val="Normal"/>
    <w:qFormat/>
    <w:pPr>
      <w:tabs>
        <w:tab w:val="clear" w:pos="720"/>
        <w:tab w:val="left" w:pos="270" w:leader="none"/>
        <w:tab w:val="left" w:pos="540" w:leader="none"/>
        <w:tab w:val="left" w:pos="810" w:leader="none"/>
        <w:tab w:val="center" w:pos="4770" w:leader="none"/>
        <w:tab w:val="center" w:pos="8280" w:leader="none"/>
        <w:tab w:val="left" w:pos="10890" w:leader="none"/>
      </w:tabs>
      <w:ind w:hanging="0" w:start="0" w:end="-720"/>
    </w:pPr>
    <w:rPr>
      <w:rFonts w:ascii="Courier New" w:hAnsi="Courier New" w:cs="Courier New"/>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540" w:leader="none"/>
      </w:tabs>
      <w:ind w:hanging="540" w:start="540" w:end="0"/>
    </w:pPr>
    <w:rPr>
      <w:rFonts w:ascii="Courier New" w:hAnsi="Courier New" w:cs="Courier New"/>
      <w:sz w:val="16"/>
    </w:rPr>
  </w:style>
  <w:style w:type="paragraph" w:styleId="BodyText3">
    <w:name w:val="Body Text 3"/>
    <w:basedOn w:val="Normal"/>
    <w:qFormat/>
    <w:pPr>
      <w:tabs>
        <w:tab w:val="clear" w:pos="720"/>
        <w:tab w:val="left" w:pos="360" w:leader="none"/>
      </w:tabs>
    </w:pPr>
    <w:rPr>
      <w:rFonts w:ascii="Courier New" w:hAnsi="Courier New" w:cs="Courier New"/>
      <w:sz w:val="16"/>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rFonts w:ascii="Courier New" w:hAnsi="Courier New" w:cs="Courier New"/>
      <w:szCs w:val="24"/>
    </w:rPr>
  </w:style>
  <w:style w:type="paragraph" w:styleId="BodyTextIndent2">
    <w:name w:val="Body Text Indent 2"/>
    <w:basedOn w:val="Normal"/>
    <w:qFormat/>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EnvelopeReturn">
    <w:name w:val="envelope return"/>
    <w:basedOn w:val="Normal"/>
    <w:pPr/>
    <w:rPr>
      <w:rFonts w:ascii="Arial" w:hAnsi="Arial" w:cs="Arial"/>
      <w:caps/>
    </w:rPr>
  </w:style>
  <w:style w:type="paragraph" w:styleId="VEBodyText">
    <w:name w:val="VE Body Text"/>
    <w:basedOn w:val="Normal"/>
    <w:qFormat/>
    <w:pPr>
      <w:spacing w:before="0" w:after="240"/>
      <w:jc w:val="both"/>
    </w:pPr>
    <w:rPr>
      <w:rFonts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2001-11-16T21:52:00Z</dcterms:created>
  <dc:creator>Dortha Gray</dc:creator>
  <dc:description/>
  <dc:language>en-CA</dc:language>
  <cp:lastModifiedBy>dgray</cp:lastModifiedBy>
  <cp:lastPrinted>2001-11-17T23:59:00Z</cp:lastPrinted>
  <dcterms:modified xsi:type="dcterms:W3CDTF">2001-11-18T03:32:00Z</dcterms:modified>
  <cp:revision>40</cp:revision>
  <dc:subject/>
  <dc:title>2nd Quarter Edgar Filing</dc:title>
</cp:coreProperties>
</file>