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before="0" w:after="140"/>
        <w:jc w:val="center"/>
        <w:rPr/>
      </w:pPr>
      <w:r>
        <w:rPr/>
        <w:t>April 18, 2001</w:t>
      </w:r>
    </w:p>
    <w:p>
      <w:pPr>
        <w:pStyle w:val="Body"/>
        <w:spacing w:before="0" w:after="140"/>
        <w:jc w:val="center"/>
        <w:rPr/>
      </w:pPr>
      <w:r>
        <w:rPr/>
        <w:t>J.P. MORGAN SECURITIES INC.  -  EQUITY RESEARCH</w:t>
      </w:r>
    </w:p>
    <w:p>
      <w:pPr>
        <w:pStyle w:val="Body"/>
        <w:spacing w:before="0" w:after="140"/>
        <w:jc w:val="center"/>
        <w:rPr/>
      </w:pPr>
      <w:r>
        <w:rPr/>
        <w:t>ANATOL FEYGIN (1-212) 648-4736</w:t>
        <w:br/>
        <w:t>feygin_anatol@jpmorgan.com</w:t>
        <w:br/>
        <w:t>Gil H. Gabbay (1-212) 648-9830</w:t>
        <w:br/>
        <w:t>gabbay_gil@jpmorgan.com</w:t>
      </w:r>
    </w:p>
    <w:p>
      <w:pPr>
        <w:pStyle w:val="Body"/>
        <w:spacing w:before="0" w:after="140"/>
        <w:jc w:val="center"/>
        <w:rPr>
          <w:b/>
        </w:rPr>
      </w:pPr>
      <w:r>
        <w:rPr>
          <w:b/>
        </w:rPr>
        <w:t>Enron Corporation  (BUY)</w:t>
      </w:r>
    </w:p>
    <w:p>
      <w:pPr>
        <w:pStyle w:val="Body"/>
        <w:spacing w:before="0" w:after="140"/>
        <w:jc w:val="center"/>
        <w:rPr>
          <w:b/>
          <w:caps/>
        </w:rPr>
      </w:pPr>
      <w:r>
        <w:rPr>
          <w:b/>
        </w:rPr>
        <w:t>1Q01 RESULTS STRONG AS EXPECTED; REITERATE BUY</w:t>
      </w:r>
    </w:p>
    <w:p>
      <w:pPr>
        <w:pStyle w:val="Normal"/>
        <w:tabs>
          <w:tab w:val="clear" w:pos="720"/>
          <w:tab w:val="left" w:pos="2070" w:leader="none"/>
          <w:tab w:val="left" w:pos="3150" w:leader="none"/>
          <w:tab w:val="left" w:pos="4050" w:leader="none"/>
          <w:tab w:val="center" w:pos="7740" w:leader="none"/>
          <w:tab w:val="left" w:pos="9630" w:leader="none"/>
        </w:tabs>
        <w:rPr/>
      </w:pPr>
      <w:bookmarkStart w:id="0" w:name="EarningsStrip"/>
      <w:bookmarkEnd w:id="0"/>
      <w:r>
        <w:rPr/>
        <w:t>ENE</w:t>
      </w:r>
      <w:bookmarkStart w:id="1" w:name="Tkr"/>
      <w:bookmarkEnd w:id="1"/>
      <w:r>
        <w:rPr/>
        <w:tab/>
        <w:tab/>
        <w:tab/>
        <w:t>Earnings Per Share</w:t>
        <w:tab/>
        <w:t>P/E</w:t>
      </w:r>
    </w:p>
    <w:p>
      <w:pPr>
        <w:pStyle w:val="Normal"/>
        <w:tabs>
          <w:tab w:val="clear" w:pos="720"/>
          <w:tab w:val="left" w:pos="1080" w:leader="none"/>
          <w:tab w:val="left" w:pos="2070" w:leader="none"/>
          <w:tab w:val="left" w:pos="3150" w:leader="none"/>
          <w:tab w:val="left" w:pos="4050" w:leader="none"/>
          <w:tab w:val="left" w:pos="5130" w:leader="none"/>
          <w:tab w:val="left" w:pos="7470" w:leader="none"/>
          <w:tab w:val="left" w:pos="9810" w:leader="none"/>
        </w:tabs>
        <w:rPr/>
      </w:pPr>
      <w:r>
        <w:rPr/>
        <w:tab/>
        <w:t>52-Wk</w:t>
        <w:tab/>
        <w:tab/>
        <w:tab/>
        <w:t>-----------------------</w:t>
        <w:tab/>
        <w:t>---------</w:t>
        <w:tab/>
        <w:t>MkCap</w:t>
      </w:r>
    </w:p>
    <w:p>
      <w:pPr>
        <w:pStyle w:val="Normal"/>
        <w:tabs>
          <w:tab w:val="clear" w:pos="720"/>
          <w:tab w:val="left" w:pos="1080" w:leader="none"/>
          <w:tab w:val="left" w:pos="2070" w:leader="none"/>
          <w:tab w:val="left" w:pos="3150" w:leader="none"/>
          <w:tab w:val="left" w:pos="4050" w:leader="none"/>
          <w:tab w:val="left" w:pos="5130" w:leader="none"/>
          <w:tab w:val="left" w:pos="6120" w:leader="none"/>
          <w:tab w:val="left" w:pos="7110" w:leader="none"/>
          <w:tab w:val="left" w:pos="8100" w:leader="none"/>
          <w:tab w:val="left" w:pos="9180" w:leader="none"/>
          <w:tab w:val="left" w:pos="9810" w:leader="none"/>
        </w:tabs>
        <w:rPr/>
      </w:pPr>
      <w:bookmarkStart w:id="2" w:name="mmdd"/>
      <w:r>
        <w:rPr/>
        <w:t>04/17</w:t>
      </w:r>
      <w:bookmarkEnd w:id="2"/>
      <w:r>
        <w:rPr/>
        <w:tab/>
        <w:t>Rge</w:t>
        <w:tab/>
      </w:r>
      <w:bookmarkStart w:id="3" w:name="fy92"/>
      <w:r>
        <w:rPr/>
        <w:t>12</w:t>
      </w:r>
      <w:bookmarkEnd w:id="3"/>
      <w:r>
        <w:rPr/>
        <w:t>/00</w:t>
        <w:tab/>
      </w:r>
      <w:bookmarkStart w:id="4" w:name="fy93"/>
      <w:r>
        <w:rPr/>
        <w:t>12</w:t>
      </w:r>
      <w:bookmarkEnd w:id="4"/>
      <w:r>
        <w:rPr/>
        <w:t>/</w:t>
      </w:r>
      <w:bookmarkStart w:id="5" w:name="y1"/>
      <w:r>
        <w:rPr/>
        <w:t>01</w:t>
      </w:r>
      <w:bookmarkEnd w:id="5"/>
      <w:r>
        <w:rPr/>
        <w:tab/>
      </w:r>
      <w:bookmarkStart w:id="6" w:name="fy94"/>
      <w:r>
        <w:rPr/>
        <w:t>12</w:t>
      </w:r>
      <w:bookmarkEnd w:id="6"/>
      <w:r>
        <w:rPr/>
        <w:t>/</w:t>
      </w:r>
      <w:bookmarkStart w:id="7" w:name="y2"/>
      <w:r>
        <w:rPr/>
        <w:t>02</w:t>
      </w:r>
      <w:bookmarkEnd w:id="7"/>
      <w:r>
        <w:rPr/>
        <w:tab/>
      </w:r>
      <w:bookmarkStart w:id="8" w:name="nq93"/>
      <w:r>
        <w:rPr/>
        <w:t>1Q</w:t>
      </w:r>
      <w:bookmarkEnd w:id="8"/>
      <w:r>
        <w:rPr/>
        <w:t>/</w:t>
      </w:r>
      <w:bookmarkStart w:id="9" w:name="y1a"/>
      <w:r>
        <w:rPr/>
        <w:t>01</w:t>
      </w:r>
      <w:bookmarkEnd w:id="9"/>
      <w:r>
        <w:rPr/>
        <w:tab/>
      </w:r>
      <w:bookmarkStart w:id="10" w:name="nq94"/>
      <w:r>
        <w:rPr/>
        <w:t>1Q</w:t>
      </w:r>
      <w:bookmarkEnd w:id="10"/>
      <w:r>
        <w:rPr/>
        <w:t>/</w:t>
      </w:r>
      <w:bookmarkStart w:id="11" w:name="ya"/>
      <w:r>
        <w:rPr/>
        <w:t>00</w:t>
      </w:r>
      <w:bookmarkEnd w:id="11"/>
      <w:r>
        <w:rPr/>
        <w:t>A</w:t>
        <w:tab/>
      </w:r>
      <w:bookmarkStart w:id="12" w:name="pe93"/>
      <w:r>
        <w:rPr/>
        <w:t>12</w:t>
      </w:r>
      <w:bookmarkEnd w:id="12"/>
      <w:r>
        <w:rPr/>
        <w:t>/</w:t>
      </w:r>
      <w:bookmarkStart w:id="13" w:name="y1b"/>
      <w:r>
        <w:rPr/>
        <w:t>0</w:t>
      </w:r>
      <w:bookmarkEnd w:id="13"/>
      <w:r>
        <w:rPr/>
        <w:t>1E</w:t>
        <w:tab/>
      </w:r>
      <w:bookmarkStart w:id="14" w:name="pe94"/>
      <w:r>
        <w:rPr/>
        <w:t>12</w:t>
      </w:r>
      <w:bookmarkEnd w:id="14"/>
      <w:r>
        <w:rPr/>
        <w:t>/</w:t>
      </w:r>
      <w:bookmarkStart w:id="15" w:name="y2a"/>
      <w:r>
        <w:rPr/>
        <w:t>0</w:t>
      </w:r>
      <w:bookmarkEnd w:id="15"/>
      <w:r>
        <w:rPr/>
        <w:t>2E</w:t>
        <w:tab/>
        <w:t>Yld</w:t>
        <w:tab/>
        <w:t>($MM)</w:t>
      </w:r>
    </w:p>
    <w:p>
      <w:pPr>
        <w:pStyle w:val="Normal"/>
        <w:tabs>
          <w:tab w:val="clear" w:pos="720"/>
          <w:tab w:val="left" w:pos="1080" w:leader="none"/>
          <w:tab w:val="left" w:pos="2070" w:leader="none"/>
          <w:tab w:val="left" w:pos="3150" w:leader="none"/>
          <w:tab w:val="left" w:pos="4050" w:leader="none"/>
          <w:tab w:val="left" w:pos="5130" w:leader="none"/>
          <w:tab w:val="left" w:pos="6120" w:leader="none"/>
          <w:tab w:val="left" w:pos="7110" w:leader="none"/>
          <w:tab w:val="left" w:pos="8100" w:leader="none"/>
          <w:tab w:val="left" w:pos="9180" w:leader="none"/>
          <w:tab w:val="left" w:pos="9810" w:leader="none"/>
        </w:tabs>
        <w:rPr/>
      </w:pPr>
      <w:r>
        <w:rPr/>
        <w:t>----</w:t>
        <w:tab/>
        <w:t>-----</w:t>
        <w:tab/>
        <w:t>-----</w:t>
        <w:tab/>
        <w:t>-----</w:t>
        <w:tab/>
        <w:t>-----</w:t>
        <w:tab/>
        <w:t>-----</w:t>
        <w:tab/>
        <w:t>-----</w:t>
        <w:tab/>
        <w:t>------</w:t>
        <w:tab/>
        <w:t>------</w:t>
        <w:tab/>
        <w:t>---</w:t>
        <w:tab/>
        <w:t>-----</w:t>
      </w:r>
    </w:p>
    <w:p>
      <w:pPr>
        <w:pStyle w:val="Normal"/>
        <w:tabs>
          <w:tab w:val="clear" w:pos="720"/>
          <w:tab w:val="left" w:pos="1080" w:leader="none"/>
          <w:tab w:val="left" w:pos="2070" w:leader="none"/>
          <w:tab w:val="left" w:pos="3150" w:leader="none"/>
          <w:tab w:val="left" w:pos="4050" w:leader="none"/>
          <w:tab w:val="left" w:pos="5130" w:leader="none"/>
          <w:tab w:val="left" w:pos="6120" w:leader="none"/>
          <w:tab w:val="left" w:pos="7110" w:leader="none"/>
          <w:tab w:val="left" w:pos="8100" w:leader="none"/>
          <w:tab w:val="left" w:pos="9090" w:leader="none"/>
          <w:tab w:val="left" w:pos="9810" w:leader="none"/>
        </w:tabs>
        <w:rPr/>
      </w:pPr>
      <w:r>
        <w:rPr/>
        <w:t>$60.00</w:t>
        <w:tab/>
        <w:t>$</w:t>
      </w:r>
      <w:bookmarkStart w:id="16" w:name="wkrg"/>
      <w:r>
        <w:rPr/>
        <w:t>91-</w:t>
      </w:r>
      <w:bookmarkEnd w:id="16"/>
      <w:r>
        <w:rPr/>
        <w:t>52</w:t>
        <w:tab/>
        <w:t>$1.</w:t>
      </w:r>
      <w:bookmarkStart w:id="17" w:name="cyeps"/>
      <w:r>
        <w:rPr/>
        <w:t>47</w:t>
        <w:tab/>
        <w:t>$</w:t>
      </w:r>
      <w:bookmarkEnd w:id="17"/>
      <w:r>
        <w:rPr/>
        <w:t>1.77E</w:t>
        <w:tab/>
        <w:t>$2.08E</w:t>
        <w:tab/>
        <w:t>$0.47A</w:t>
        <w:tab/>
        <w:t>$0.34A</w:t>
        <w:tab/>
      </w:r>
      <w:bookmarkStart w:id="18" w:name="cype"/>
      <w:r>
        <w:rPr/>
        <w:t>33.9</w:t>
      </w:r>
      <w:bookmarkEnd w:id="18"/>
      <w:r>
        <w:rPr/>
        <w:tab/>
        <w:t>28.8</w:t>
        <w:tab/>
      </w:r>
      <w:bookmarkStart w:id="19" w:name="dy"/>
      <w:r>
        <w:rPr/>
        <w:t>0.6</w:t>
      </w:r>
      <w:bookmarkEnd w:id="19"/>
      <w:r>
        <w:rPr/>
        <w:t>%</w:t>
        <w:tab/>
        <w:t>$44,835</w:t>
      </w:r>
    </w:p>
    <w:p>
      <w:pPr>
        <w:pStyle w:val="MacroText"/>
        <w:widowControl/>
        <w:tabs>
          <w:tab w:val="clear" w:pos="475"/>
          <w:tab w:val="clear" w:pos="950"/>
          <w:tab w:val="clear" w:pos="1426"/>
          <w:tab w:val="clear" w:pos="1915"/>
          <w:tab w:val="clear" w:pos="2390"/>
          <w:tab w:val="clear" w:pos="2866"/>
          <w:tab w:val="clear" w:pos="3355"/>
          <w:tab w:val="clear" w:pos="3830"/>
          <w:tab w:val="clear" w:pos="4306"/>
          <w:tab w:val="left" w:pos="2070" w:leader="none"/>
          <w:tab w:val="left" w:pos="3150" w:leader="none"/>
          <w:tab w:val="left" w:pos="4050" w:leader="none"/>
          <w:tab w:val="left" w:pos="5130" w:leader="none"/>
          <w:tab w:val="left" w:pos="6120" w:leader="none"/>
          <w:tab w:val="left" w:pos="7110" w:leader="none"/>
          <w:tab w:val="left" w:pos="8010" w:leader="none"/>
          <w:tab w:val="left" w:pos="8910" w:leader="none"/>
          <w:tab w:val="left" w:pos="9720" w:leader="none"/>
          <w:tab w:val="left" w:pos="9900" w:leader="none"/>
        </w:tabs>
        <w:spacing w:before="0" w:after="200"/>
        <w:rPr>
          <w:rFonts w:ascii="Times New Roman" w:hAnsi="Times New Roman" w:cs="Times New Roman"/>
          <w:lang w:val="en-US" w:eastAsia="en-US"/>
        </w:rPr>
      </w:pPr>
      <w:r>
        <w:rPr>
          <w:rFonts w:cs="Times New Roman" w:ascii="Times New Roman" w:hAnsi="Times New Roman"/>
          <w:lang w:val="en-US" w:eastAsia="en-US"/>
        </w:rPr>
      </w:r>
      <w:bookmarkStart w:id="20" w:name="Previous"/>
      <w:bookmarkStart w:id="21" w:name="Previous"/>
      <w:bookmarkEnd w:id="21"/>
    </w:p>
    <w:p>
      <w:pPr>
        <w:pStyle w:val="ListBullet"/>
        <w:numPr>
          <w:ilvl w:val="0"/>
          <w:numId w:val="2"/>
        </w:numPr>
        <w:spacing w:before="0" w:after="0"/>
        <w:ind w:hanging="0" w:start="0"/>
        <w:rPr>
          <w:b/>
        </w:rPr>
      </w:pPr>
      <w:bookmarkStart w:id="22" w:name="Previous"/>
      <w:bookmarkStart w:id="23" w:name="FirstCoverBullet"/>
      <w:bookmarkStart w:id="24" w:name="EndOfStrip"/>
      <w:bookmarkEnd w:id="22"/>
      <w:bookmarkEnd w:id="23"/>
      <w:bookmarkEnd w:id="24"/>
      <w:r>
        <w:rPr>
          <w:b/>
        </w:rPr>
        <w:t>Enron's 1Q01 Earnings Results were strong as expected, and we reiterate our Buy with a $120 price target</w:t>
      </w:r>
    </w:p>
    <w:p>
      <w:pPr>
        <w:pStyle w:val="ListBullet"/>
        <w:numPr>
          <w:ilvl w:val="0"/>
          <w:numId w:val="2"/>
        </w:numPr>
        <w:spacing w:before="0" w:after="0"/>
        <w:ind w:hanging="0" w:start="0"/>
        <w:rPr>
          <w:b/>
        </w:rPr>
      </w:pPr>
      <w:r>
        <w:rPr>
          <w:b/>
        </w:rPr>
        <w:t>Much of the $0.47 EPS was driven by continued growth in its Wholesale Energy Services business, with special note to European volume growth</w:t>
      </w:r>
    </w:p>
    <w:p>
      <w:pPr>
        <w:pStyle w:val="ListBullet"/>
        <w:numPr>
          <w:ilvl w:val="0"/>
          <w:numId w:val="2"/>
        </w:numPr>
        <w:spacing w:before="0" w:after="0"/>
        <w:ind w:hanging="0" w:start="0"/>
        <w:rPr>
          <w:b/>
        </w:rPr>
      </w:pPr>
      <w:r>
        <w:rPr>
          <w:b/>
        </w:rPr>
        <w:t>Retail Energy continues to ink contracts towards its 2001 $32 billion contract value goal</w:t>
      </w:r>
    </w:p>
    <w:p>
      <w:pPr>
        <w:pStyle w:val="ListBullet"/>
        <w:numPr>
          <w:ilvl w:val="0"/>
          <w:numId w:val="2"/>
        </w:numPr>
        <w:spacing w:before="0" w:after="140"/>
        <w:ind w:hanging="0" w:start="0"/>
        <w:rPr/>
      </w:pPr>
      <w:r>
        <w:rPr>
          <w:b/>
        </w:rPr>
        <w:t>Broadband services is growing, albeit a slower pace due to customer's capital issues and economic climate</w:t>
      </w:r>
    </w:p>
    <w:p>
      <w:pPr>
        <w:pStyle w:val="Body"/>
        <w:spacing w:before="0" w:after="140"/>
        <w:rPr/>
      </w:pPr>
      <w:bookmarkStart w:id="25" w:name="EarningsStrip"/>
      <w:bookmarkStart w:id="26" w:name="FirstCoverBullet"/>
      <w:bookmarkStart w:id="27" w:name="EndOfStrip"/>
      <w:bookmarkEnd w:id="25"/>
      <w:bookmarkEnd w:id="26"/>
      <w:bookmarkEnd w:id="27"/>
      <w:r>
        <w:rPr>
          <w:b/>
        </w:rPr>
        <w:t xml:space="preserve">Enron's 1Q01 Earnings Results were strong as expected, and we reiterate our Buy with a $120 price target.  </w:t>
      </w:r>
      <w:r>
        <w:rPr/>
        <w:t xml:space="preserve">Enron continues to capitalize on the tightness of the energy markets with its wide array of products and services, as evidenced by growing volumes in most all commodities it trades (especially gas and power), and a growing book of managed properties and increased bandwidth intermediation transactions. </w:t>
      </w:r>
    </w:p>
    <w:p>
      <w:pPr>
        <w:pStyle w:val="Body"/>
        <w:spacing w:before="0" w:after="140"/>
        <w:rPr/>
      </w:pPr>
      <w:r>
        <w:rPr>
          <w:b/>
        </w:rPr>
        <w:t xml:space="preserve">Wholesale Energy posted another strong quarter with regards to volume growth, especially in Europe.  </w:t>
      </w:r>
      <w:r>
        <w:rPr/>
        <w:t>Power and gas volumes continue to grow rapidly, both in the US and abroad.  Power volumes in North America almost doubled from 1Q00, while European volumes tripled.  We are pleased to see this data--Enron is experiencing growth in Europe while some of its competitors can't even get traction.  As a side note, we were a bit surprised to see most of the businesses earnings from commodity sales than more evenly distributed with its assets and investments sub-segment, but we are not reading into this too much.  The business is growing very quickly and is a testament to the sustainable competitive advantage Enron has amassed through its systems, scale and scope.</w:t>
      </w:r>
    </w:p>
    <w:p>
      <w:pPr>
        <w:pStyle w:val="Body"/>
        <w:spacing w:before="0" w:after="140"/>
        <w:rPr/>
      </w:pPr>
      <w:r>
        <w:rPr>
          <w:b/>
        </w:rPr>
        <w:t xml:space="preserve">Although we do not have full resolution as to the credit risks it has faced in certain markets, we are confident that Enron has successfully dodged the bullet with regards to the PG&amp;E bankruptcy and will continue to prosper amid increasing credit risks nationwide.  </w:t>
      </w:r>
      <w:r>
        <w:rPr/>
        <w:t>In many ways, some opportunities are a double-edged sword, for many companies that are in need of Enron's risk management tools are those who have experienced cash drains as a result of volatile energy prices.  However, properly-managed risks are ones certainly worth taking.  We are confident of Enron’s risk-management practices internally.</w:t>
      </w:r>
    </w:p>
    <w:p>
      <w:pPr>
        <w:pStyle w:val="Body"/>
        <w:spacing w:before="0" w:after="140"/>
        <w:rPr/>
      </w:pPr>
      <w:r>
        <w:rPr>
          <w:b/>
        </w:rPr>
        <w:t>Retail Energy Services continues to ink contract volumes towards its year-end goal of $32 billion in value.</w:t>
      </w:r>
      <w:r>
        <w:rPr/>
        <w:t xml:space="preserve">  With continued energy price volatility and the slowing economy bringing costs into further scrutiny, we believe this business will continue to grow with a "visibility tailwind".  In addition, we were pleased to hear that Enron has decided to shift the commodity risk inherent in this business into its Wholesale Energy segment, where it can be better managed, and hopefully, better leveraged.  </w:t>
      </w:r>
    </w:p>
    <w:p>
      <w:pPr>
        <w:pStyle w:val="Body"/>
        <w:spacing w:before="0" w:after="140"/>
        <w:rPr/>
      </w:pPr>
      <w:r>
        <w:rPr>
          <w:b/>
        </w:rPr>
        <w:t xml:space="preserve">Broadband Services continues to grow, albeit at a slower pace than we would have hoped.  </w:t>
      </w:r>
      <w:r>
        <w:rPr/>
        <w:t>EBS posted a loss in the neighborhood we estimated, and also hit higher transactional volumes than in all of 2000.  It seems the earnings stream in this segment may be a bit more lumpy in these earlier stages than our initial forecasts would have indicated.  We believe this is of little consequence to its development, however, since the businesses have met or exceeded profitability and performance targets internally.  We recently talked to management regarding the business, and felt comfortable they were getting adequate traction with customers and the interest for its bandwidth intermediation services exists.  On the content side, it seems that management is more than satisfied with business development post-Blockbuster, as they have access to twice as much content as they did during the agreement.  The stumbling block it seems is not technology, as BBI would have claimed, but rather the terms of agreements with potential customers of the VOD service.  We believe many of these issues will be resolved in the upcoming quarters.</w:t>
      </w:r>
    </w:p>
    <w:p>
      <w:pPr>
        <w:pStyle w:val="HedgeHead"/>
        <w:rPr/>
      </w:pPr>
      <w:r>
        <w:rPr/>
        <w:t xml:space="preserve">Additional information is available upon request.  </w:t>
      </w:r>
    </w:p>
    <w:p>
      <w:pPr>
        <w:pStyle w:val="Hedge"/>
        <w:rPr/>
      </w:pPr>
      <w:r>
        <w:rPr/>
        <w:t xml:space="preserve">Copyright 2001 J.P. Morgan Chase &amp; Co. – All rights reserved.  J.P. Morgan Securities Inc. (JPMSI), Chase Securities Inc. (CSI) and Robert Fleming Inc. (RFI), members NYSE and SIPC. J.P. Morgan Securities Limited (JPMSL), Chase Manhattan International Ltd. (CMIL) and Robert Fleming &amp; Co. Limited (RFL), are all regulated by the SFA and are members of the LSE.  J.P. Morgan &amp; Cie SA is a member of the Association Francaise des Banques &amp; the Association Francaise des Etablissements.  J.P. Morgan Securities Asia Pte Ltd. regulated by the SFC in Hong Kong, the MAS in Singapore and the FSA in Japan.  Chase Manhattan Asia Ltd. and Jardine Fleming Securities Limited, regulated by the SFC in Hong Kong.  Chase Securities Japan Limited and Jardine Fleming Securities (Asia) Limited, regulated by the </w:t>
      </w:r>
      <w:r>
        <w:rPr>
          <w:color w:val="000000"/>
        </w:rPr>
        <w:t>FS</w:t>
      </w:r>
      <w:r>
        <w:rPr/>
        <w:t>A in Japan.  Jardine Fleming Singapore Securities Pte Ltd. (member Singapore Exchange Securities Trading Limited), regulated by the MAS.  Chase Securities Australia Limited (</w:t>
      </w:r>
      <w:r>
        <w:rPr>
          <w:color w:val="000000"/>
        </w:rPr>
        <w:t>ABN 61</w:t>
      </w:r>
      <w:r>
        <w:rPr/>
        <w:t xml:space="preserve"> 002 888 011) and Ord Minnett Securities Limited (</w:t>
      </w:r>
      <w:r>
        <w:rPr>
          <w:color w:val="000000"/>
        </w:rPr>
        <w:t>ABN 61 003 245 234 a Participating Organisation with the ASX) are licensed securities dealers</w:t>
      </w:r>
      <w:r>
        <w:rPr/>
        <w:t xml:space="preserve">.  Chase H&amp;Q is a division of CSI and CMIL.  JP Morgan and JP Morgan H&amp;Q are marketing names used on research published by the specific legal entity or entities named in the research.  </w:t>
      </w:r>
    </w:p>
    <w:p>
      <w:pPr>
        <w:pStyle w:val="Hedge"/>
        <w:rPr/>
      </w:pPr>
      <w:r>
        <w:rPr/>
        <w:t>Information has been obtained from sources believed to be reliable but J.P. Morgan Chase &amp; Co. does not warrant its completeness or accuracy.  Opinions and estimates constitute our judgement as of the date of this material and are subject to change without notice.  Past performance is not indicative of future results.  This material is not intended as an offer or solicitation for the purchase or sale of any financial instrument.   Securities or financial instruments mentioned herein may not be suitable for all investors.  Securities of emerging and mid-size growth companies typically involve a higher degree of risk and more volatility than the securities of more established companies and may be unsuitable for investors depending on their specific investment objectives and financial position.  The recipient of this report must make its own independent decisions regarding any securities or financial instruments mentioned herein.  J.P. Morgan Chase &amp; Co. and/or its subsidiaries and affiliates generally act as a market maker in the financial instruments of any issuer discussed herein and may act as underwriter, placement agent, advisor or lender to such issuer.  J.P. Morgan Chase &amp; Co. and/or its affiliates, subsidiaries or employees may hold a position in any securities or financial instruments mentioned herein.   Distribution of research issued by certain Fleming entities is restricted in the U.S. to major institutional investors.  Clients should contact analysts and execute transactions through a J.P. Morgan Chase &amp; Co. subsidiary or affiliate in their home jurisdiction unless governing law permits otherwise.</w:t>
      </w:r>
    </w:p>
    <w:p>
      <w:pPr>
        <w:pStyle w:val="Hedge"/>
        <w:spacing w:before="0" w:after="120"/>
        <w:rPr/>
      </w:pPr>
      <w:r>
        <w:rPr>
          <w:b/>
        </w:rPr>
        <w:t>U.K. and European Economic Area:</w:t>
      </w:r>
      <w:r>
        <w:rPr/>
        <w:t xml:space="preserve"> Issued and approved for distribution in the U.K. and the European Economic Area (“EEA”) by JPMSL, CMIL and RFL.  Research published by Fleming entities other than RFL is issued in the U.K. only to persons of a kind described in Article II(3) of the Financial Services Act 1986 (Investment Advertisements)(Exemptions) order 1997 (as amended) and, in other EEA countries, to persons regarded as professional investors (or equivalent) in their home jurisdiction. Any other research issued to private clients in the U.K. is subject to the following: the investments and strategies discussed here may not be suitable for all investors; if you have any doubts you should consult your investment advisor.  The investments discussed may fluctuate in price or value.  Investors may get back less than they invested.  Changes in rates of exchange may have an adverse effect on the value of investments. </w:t>
      </w:r>
    </w:p>
    <w:sectPr>
      <w:headerReference w:type="default" r:id="rId2"/>
      <w:footerReference w:type="default" r:id="rId3"/>
      <w:type w:val="nextPage"/>
      <w:pgSz w:w="12240" w:h="15840"/>
      <w:pgMar w:left="792" w:right="792"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start"/>
      <w:tblInd w:w="0" w:type="dxa"/>
      <w:tblLayout w:type="fixed"/>
      <w:tblCellMar>
        <w:top w:w="0" w:type="dxa"/>
        <w:start w:w="108" w:type="dxa"/>
        <w:bottom w:w="0" w:type="dxa"/>
        <w:end w:w="108" w:type="dxa"/>
      </w:tblCellMar>
    </w:tblPr>
    <w:tblGrid>
      <w:gridCol w:w="5400"/>
      <w:gridCol w:w="5400"/>
    </w:tblGrid>
    <w:tr>
      <w:trPr/>
      <w:tc>
        <w:tcPr>
          <w:tcW w:w="5400" w:type="dxa"/>
          <w:tcBorders>
            <w:bottom w:val="single" w:sz="6" w:space="0" w:color="000000"/>
          </w:tcBorders>
        </w:tcPr>
        <w:p>
          <w:pPr>
            <w:pStyle w:val="Header"/>
            <w:spacing w:before="240" w:after="0"/>
            <w:rPr/>
          </w:pPr>
          <w:r>
            <w:rPr/>
            <w:drawing>
              <wp:inline distT="0" distB="0" distL="0" distR="0">
                <wp:extent cx="1308100" cy="330200"/>
                <wp:effectExtent l="0" t="0" r="0" b="0"/>
                <wp:docPr id="1" name="JPMLogo_Siz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MLogo_Size2" descr="" title=""/>
                        <pic:cNvPicPr>
                          <a:picLocks noChangeAspect="1" noChangeArrowheads="1"/>
                        </pic:cNvPicPr>
                      </pic:nvPicPr>
                      <pic:blipFill>
                        <a:blip r:embed="rId1"/>
                        <a:srcRect l="-28" t="-109" r="-28" b="-109"/>
                        <a:stretch>
                          <a:fillRect/>
                        </a:stretch>
                      </pic:blipFill>
                      <pic:spPr bwMode="auto">
                        <a:xfrm>
                          <a:off x="0" y="0"/>
                          <a:ext cx="1308100" cy="330200"/>
                        </a:xfrm>
                        <a:prstGeom prst="rect">
                          <a:avLst/>
                        </a:prstGeom>
                        <a:noFill/>
                      </pic:spPr>
                    </pic:pic>
                  </a:graphicData>
                </a:graphic>
              </wp:inline>
            </w:drawing>
          </w:r>
        </w:p>
      </w:tc>
      <w:tc>
        <w:tcPr>
          <w:tcW w:w="5400" w:type="dxa"/>
          <w:tcBorders>
            <w:bottom w:val="single" w:sz="6" w:space="0" w:color="000000"/>
          </w:tcBorders>
        </w:tcPr>
        <w:p>
          <w:pPr>
            <w:pStyle w:val="Header"/>
            <w:jc w:val="end"/>
            <w:rPr/>
          </w:pPr>
          <w:r>
            <w:rPr/>
            <w:t>J.P. Morgan Securities Inc. - Equity Research</w:t>
            <w:br/>
            <w:t>Morning Meeting Research Notes</w:t>
            <w:b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CoName" w:val="Enron Corporation"/>
    <w:docVar w:name="division" w:val="J.P. Morgan Securities Inc."/>
    <w:docVar w:name="doctype" w:val=" 0"/>
    <w:docVar w:name="highyield" w:val=" 0"/>
    <w:docVar w:name="location" w:val="New York"/>
    <w:docVar w:name="Opinion" w:val="BUY"/>
    <w:docVar w:name="PrimAuth" w:val="ANATOL FEYGIN (1-212) 648-4736_x000b_feygin_anatol@jpmorgan.com_x000b_Gil H. Gabbay (1-212) 648-9830_x000b_gabbay_gil@jpmorgan.com"/>
    <w:docVar w:name="TheDate" w:val="April 18, 2001"/>
    <w:docVar w:name="Title" w:val="1Q01 Results Strong as Expected; Reiterate Buy"/>
    <w:docVar w:name="totaltkrs" w:val=" 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Body"/>
    <w:next w:val="Body"/>
    <w:qFormat/>
    <w:pPr>
      <w:keepNext w:val="true"/>
      <w:numPr>
        <w:ilvl w:val="0"/>
        <w:numId w:val="1"/>
      </w:numPr>
      <w:pBdr>
        <w:bottom w:val="single" w:sz="6" w:space="1" w:color="000000"/>
      </w:pBdr>
      <w:spacing w:before="120" w:after="360"/>
      <w:outlineLvl w:val="0"/>
    </w:pPr>
    <w:rPr>
      <w:smallCaps/>
      <w:color w:val="800000"/>
      <w:sz w:val="28"/>
    </w:rPr>
  </w:style>
  <w:style w:type="paragraph" w:styleId="Heading2">
    <w:name w:val="heading 2"/>
    <w:basedOn w:val="Body"/>
    <w:next w:val="Body"/>
    <w:qFormat/>
    <w:pPr>
      <w:keepNext w:val="true"/>
      <w:numPr>
        <w:ilvl w:val="1"/>
        <w:numId w:val="1"/>
      </w:numPr>
      <w:spacing w:before="0" w:after="100"/>
      <w:outlineLvl w:val="1"/>
    </w:pPr>
    <w:rPr>
      <w:color w:val="800000"/>
      <w:sz w:val="24"/>
    </w:rPr>
  </w:style>
  <w:style w:type="paragraph" w:styleId="Heading3">
    <w:name w:val="heading 3"/>
    <w:basedOn w:val="Body"/>
    <w:next w:val="Body"/>
    <w:qFormat/>
    <w:pPr>
      <w:keepNext w:val="true"/>
      <w:numPr>
        <w:ilvl w:val="2"/>
        <w:numId w:val="1"/>
      </w:numPr>
      <w:spacing w:before="0" w:after="0"/>
      <w:outlineLvl w:val="2"/>
    </w:pPr>
    <w:rPr>
      <w:b/>
    </w:rPr>
  </w:style>
  <w:style w:type="paragraph" w:styleId="Heading4">
    <w:name w:val="heading 4"/>
    <w:basedOn w:val="Body"/>
    <w:next w:val="Normal"/>
    <w:qFormat/>
    <w:pPr>
      <w:keepNext w:val="true"/>
      <w:numPr>
        <w:ilvl w:val="3"/>
        <w:numId w:val="1"/>
      </w:numPr>
      <w:spacing w:before="0" w:after="40"/>
      <w:ind w:hanging="907" w:start="907" w:end="0"/>
      <w:outlineLvl w:val="3"/>
    </w:pPr>
    <w:rPr>
      <w:b/>
      <w:color w:val="800000"/>
    </w:rPr>
  </w:style>
  <w:style w:type="paragraph" w:styleId="Heading5">
    <w:name w:val="heading 5"/>
    <w:basedOn w:val="Heading4"/>
    <w:next w:val="Body"/>
    <w:qFormat/>
    <w:pPr>
      <w:numPr>
        <w:ilvl w:val="4"/>
        <w:numId w:val="1"/>
      </w:numPr>
      <w:outlineLvl w:val="4"/>
    </w:pPr>
    <w:rPr>
      <w:color w:val="000080"/>
    </w:rPr>
  </w:style>
  <w:style w:type="paragraph" w:styleId="Heading6">
    <w:name w:val="heading 6"/>
    <w:basedOn w:val="Heading1"/>
    <w:next w:val="Normal"/>
    <w:qFormat/>
    <w:pPr>
      <w:numPr>
        <w:ilvl w:val="5"/>
        <w:numId w:val="1"/>
      </w:numPr>
      <w:outlineLvl w:val="5"/>
    </w:pPr>
    <w:rPr/>
  </w:style>
  <w:style w:type="character" w:styleId="WW8Num1z0">
    <w:name w:val="WW8Num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paragraph" w:styleId="Heading">
    <w:name w:val="Heading"/>
    <w:basedOn w:val="Normal"/>
    <w:next w:val="TitleNo2"/>
    <w:qFormat/>
    <w:pPr>
      <w:spacing w:before="240" w:after="120"/>
    </w:pPr>
    <w:rPr>
      <w:kern w:val="2"/>
      <w:sz w:val="5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keepNext w:val="true"/>
      <w:keepLines/>
      <w:tabs>
        <w:tab w:val="left" w:pos="720" w:leader="none"/>
      </w:tabs>
      <w:spacing w:before="120" w:after="60"/>
    </w:pPr>
    <w:rPr>
      <w:b/>
      <w:color w:val="800000"/>
    </w:rPr>
  </w:style>
  <w:style w:type="paragraph" w:styleId="Index">
    <w:name w:val="Index"/>
    <w:basedOn w:val="Normal"/>
    <w:qFormat/>
    <w:pPr>
      <w:suppressLineNumbers/>
    </w:pPr>
    <w:rPr>
      <w:rFonts w:cs="NotoSans NF"/>
    </w:rPr>
  </w:style>
  <w:style w:type="paragraph" w:styleId="Body">
    <w:name w:val="Body"/>
    <w:basedOn w:val="Normal"/>
    <w:qFormat/>
    <w:pPr>
      <w:spacing w:before="0" w:after="240"/>
    </w:pPr>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US" w:eastAsia="en-CA" w:bidi="ar-SA"/>
    </w:rPr>
  </w:style>
  <w:style w:type="paragraph" w:styleId="TitlesforContents">
    <w:name w:val="Titles for Contents"/>
    <w:basedOn w:val="Heading1"/>
    <w:next w:val="Normal"/>
    <w:qFormat/>
    <w:pPr>
      <w:numPr>
        <w:ilvl w:val="0"/>
        <w:numId w:val="0"/>
      </w:numPr>
      <w:spacing w:before="120" w:after="120"/>
      <w:outlineLvl w:val="9"/>
    </w:pPr>
    <w:rPr/>
  </w:style>
  <w:style w:type="paragraph" w:styleId="Sub-Title">
    <w:name w:val="Sub-Title"/>
    <w:basedOn w:val="Heading"/>
    <w:qFormat/>
    <w:pPr>
      <w:spacing w:before="0" w:after="120"/>
    </w:pPr>
    <w:rPr>
      <w:sz w:val="36"/>
    </w:rPr>
  </w:style>
  <w:style w:type="paragraph" w:styleId="Units">
    <w:name w:val="Units"/>
    <w:basedOn w:val="Normal"/>
    <w:qFormat/>
    <w:pPr>
      <w:keepNext w:val="true"/>
      <w:keepLines/>
    </w:pPr>
    <w:rPr>
      <w:i/>
      <w:kern w:val="2"/>
      <w:sz w:val="16"/>
    </w:rPr>
  </w:style>
  <w:style w:type="paragraph" w:styleId="LeftMarginText">
    <w:name w:val="Left Margin Text"/>
    <w:basedOn w:val="Normal"/>
    <w:qFormat/>
    <w:pPr>
      <w:tabs>
        <w:tab w:val="clear" w:pos="720"/>
        <w:tab w:val="center" w:pos="4320" w:leader="none"/>
        <w:tab w:val="right" w:pos="8640" w:leader="none"/>
      </w:tabs>
    </w:pPr>
    <w:rPr>
      <w:i/>
    </w:rPr>
  </w:style>
  <w:style w:type="paragraph" w:styleId="TableFootnotes">
    <w:name w:val="Table Footnotes"/>
    <w:basedOn w:val="Normal"/>
    <w:qFormat/>
    <w:pPr/>
    <w:rPr>
      <w:sz w:val="16"/>
    </w:rPr>
  </w:style>
  <w:style w:type="paragraph" w:styleId="TableHead">
    <w:name w:val="Table Head"/>
    <w:basedOn w:val="Normal"/>
    <w:qFormat/>
    <w:pPr>
      <w:keepNext w:val="true"/>
      <w:keepLines/>
      <w:jc w:val="center"/>
    </w:pPr>
    <w:rPr>
      <w:b/>
      <w:sz w:val="16"/>
    </w:rPr>
  </w:style>
  <w:style w:type="paragraph" w:styleId="TableHeadBorder">
    <w:name w:val="Table Head Border"/>
    <w:basedOn w:val="Normal"/>
    <w:qFormat/>
    <w:pPr>
      <w:keepNext w:val="true"/>
      <w:keepLines/>
      <w:pBdr>
        <w:bottom w:val="single" w:sz="6" w:space="1" w:color="000000"/>
      </w:pBdr>
      <w:jc w:val="center"/>
    </w:pPr>
    <w:rPr>
      <w:b/>
      <w:color w:val="000000"/>
      <w:sz w:val="16"/>
    </w:rPr>
  </w:style>
  <w:style w:type="paragraph" w:styleId="TableText">
    <w:name w:val="Table Text"/>
    <w:basedOn w:val="Normal"/>
    <w:qFormat/>
    <w:pPr>
      <w:keepNext w:val="true"/>
      <w:keepLines/>
    </w:pPr>
    <w:rPr>
      <w:sz w:val="16"/>
    </w:rPr>
  </w:style>
  <w:style w:type="paragraph" w:styleId="TitleNo2">
    <w:name w:val="Title No. 2"/>
    <w:basedOn w:val="Heading"/>
    <w:next w:val="Body"/>
    <w:qFormat/>
    <w:pPr>
      <w:spacing w:before="0" w:after="240"/>
    </w:pPr>
    <w:rPr>
      <w:sz w:val="3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L2">
    <w:name w:val="SL2"/>
    <w:basedOn w:val="Normal"/>
    <w:qFormat/>
    <w:pPr>
      <w:keepLines/>
      <w:tabs>
        <w:tab w:val="clear" w:pos="720"/>
        <w:tab w:val="right" w:pos="3150" w:leader="none"/>
      </w:tabs>
      <w:spacing w:lineRule="exact" w:line="170" w:before="0" w:after="60"/>
      <w:ind w:hanging="216" w:start="216" w:end="0"/>
    </w:pPr>
    <w:rPr>
      <w:sz w:val="16"/>
    </w:rPr>
  </w:style>
  <w:style w:type="paragraph" w:styleId="SL2sub">
    <w:name w:val="SL2_sub"/>
    <w:basedOn w:val="SL2"/>
    <w:qFormat/>
    <w:pPr>
      <w:ind w:hanging="0" w:start="216" w:end="0"/>
    </w:pPr>
    <w:rPr/>
  </w:style>
  <w:style w:type="paragraph" w:styleId="Hedge">
    <w:name w:val="Hedge"/>
    <w:basedOn w:val="Body"/>
    <w:qFormat/>
    <w:pPr>
      <w:spacing w:before="0" w:after="120"/>
    </w:pPr>
    <w:rPr>
      <w:sz w:val="14"/>
    </w:rPr>
  </w:style>
  <w:style w:type="paragraph" w:styleId="HedgeHead">
    <w:name w:val="Hedge Head"/>
    <w:basedOn w:val="Hedge"/>
    <w:qFormat/>
    <w:pPr>
      <w:pBdr>
        <w:bottom w:val="single" w:sz="4" w:space="1" w:color="000000"/>
      </w:pBdr>
      <w:spacing w:before="0" w:after="0"/>
    </w:pPr>
    <w:rPr>
      <w:b/>
      <w:kern w:val="2"/>
      <w:sz w:val="16"/>
    </w:rPr>
  </w:style>
  <w:style w:type="paragraph" w:styleId="ListBullet">
    <w:name w:val="List Bullet"/>
    <w:basedOn w:val="Body"/>
    <w:qFormat/>
    <w:pPr>
      <w:numPr>
        <w:ilvl w:val="0"/>
        <w:numId w:val="2"/>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Comment.dot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2001-04-18T06:40:00Z</dcterms:created>
  <dc:creator>Stephanie Malewski Georges</dc:creator>
  <dc:description/>
  <cp:keywords>Enron Corporation</cp:keywords>
  <dc:language>en-CA</dc:language>
  <cp:lastModifiedBy>Tracey Contes 6-9472</cp:lastModifiedBy>
  <cp:lastPrinted>2001-04-18T09:26:00Z</cp:lastPrinted>
  <dcterms:modified xsi:type="dcterms:W3CDTF">2001-04-18T10:56:00Z</dcterms:modified>
  <cp:revision>8</cp:revision>
  <dc:subject/>
  <dc:title>ENE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Date">
    <vt:lpwstr>March 1, 2001</vt:lpwstr>
  </property>
</Properties>
</file>