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4680" w:type="dxa"/>
        <w:jc w:val="start"/>
        <w:tblInd w:w="18" w:type="dxa"/>
        <w:tblLayout w:type="fixed"/>
        <w:tblCellMar>
          <w:top w:w="0" w:type="dxa"/>
          <w:start w:w="108" w:type="dxa"/>
          <w:bottom w:w="0" w:type="dxa"/>
          <w:end w:w="108" w:type="dxa"/>
        </w:tblCellMar>
      </w:tblPr>
      <w:tblGrid>
        <w:gridCol w:w="2259"/>
        <w:gridCol w:w="2421"/>
      </w:tblGrid>
      <w:tr>
        <w:trPr/>
        <w:tc>
          <w:tcPr>
            <w:tcW w:w="2259" w:type="dxa"/>
            <w:tcBorders/>
          </w:tcPr>
          <w:p>
            <w:pPr>
              <w:pStyle w:val="Footer"/>
              <w:tabs>
                <w:tab w:val="clear" w:pos="4320"/>
                <w:tab w:val="clear" w:pos="8640"/>
              </w:tabs>
              <w:spacing w:before="20" w:after="0"/>
              <w:rPr/>
            </w:pPr>
            <w:r>
              <w:rPr/>
              <w:drawing>
                <wp:inline distT="0" distB="0" distL="0" distR="0">
                  <wp:extent cx="1243330" cy="12376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243330" cy="1237615"/>
                          </a:xfrm>
                          <a:prstGeom prst="rect">
                            <a:avLst/>
                          </a:prstGeom>
                          <a:noFill/>
                        </pic:spPr>
                      </pic:pic>
                    </a:graphicData>
                  </a:graphic>
                </wp:inline>
              </w:drawing>
            </w:r>
          </w:p>
        </w:tc>
        <w:tc>
          <w:tcPr>
            <w:tcW w:w="2421" w:type="dxa"/>
            <w:tcBorders/>
          </w:tcPr>
          <w:p>
            <w:pPr>
              <w:pStyle w:val="Normal"/>
              <w:snapToGrid w:val="false"/>
              <w:rPr/>
            </w:pPr>
            <w:r>
              <w:rPr/>
            </w:r>
          </w:p>
        </w:tc>
      </w:tr>
    </w:tbl>
    <w:p>
      <w:pPr>
        <w:pStyle w:val="Normal"/>
        <w:tabs>
          <w:tab w:val="clear" w:pos="720"/>
          <w:tab w:val="right" w:pos="9360" w:leader="none"/>
        </w:tabs>
        <w:rPr>
          <w:b/>
          <w:i/>
          <w:i/>
        </w:rPr>
      </w:pPr>
      <w:r>
        <w:rPr>
          <w:b/>
          <w:i/>
        </w:rPr>
        <w:tab/>
      </w:r>
    </w:p>
    <w:p>
      <w:pPr>
        <w:pStyle w:val="Normal"/>
        <w:tabs>
          <w:tab w:val="clear" w:pos="720"/>
          <w:tab w:val="left" w:pos="6480" w:leader="none"/>
        </w:tabs>
        <w:rPr/>
      </w:pPr>
      <w:r>
        <w:rPr>
          <w:b/>
          <w:i/>
        </w:rPr>
        <w:tab/>
      </w:r>
      <w:r>
        <w:rPr>
          <w:b/>
          <w:sz w:val="28"/>
        </w:rPr>
        <w:t>Interoffice</w:t>
      </w:r>
    </w:p>
    <w:p>
      <w:pPr>
        <w:pStyle w:val="Normal"/>
        <w:tabs>
          <w:tab w:val="clear" w:pos="720"/>
          <w:tab w:val="left" w:pos="6480" w:leader="none"/>
        </w:tabs>
        <w:rPr>
          <w:b/>
          <w:sz w:val="28"/>
        </w:rPr>
      </w:pPr>
      <w:r>
        <w:rPr>
          <w:b/>
          <w:sz w:val="28"/>
        </w:rPr>
        <w:tab/>
        <w:t>Memorandum</w:t>
      </w:r>
    </w:p>
    <w:p>
      <w:pPr>
        <w:pStyle w:val="Normal"/>
        <w:tabs>
          <w:tab w:val="clear" w:pos="720"/>
          <w:tab w:val="left" w:pos="6480" w:leader="none"/>
        </w:tabs>
        <w:rPr>
          <w:b/>
          <w:sz w:val="28"/>
        </w:rPr>
      </w:pPr>
      <w:r>
        <w:rPr>
          <w:b/>
          <w:sz w:val="28"/>
        </w:rPr>
      </w:r>
    </w:p>
    <w:p>
      <w:pPr>
        <w:pStyle w:val="Normal"/>
        <w:jc w:val="center"/>
        <w:rPr>
          <w:b/>
        </w:rPr>
      </w:pPr>
      <w:r>
        <w:rPr>
          <w:b/>
        </w:rPr>
        <w:t>ATTORNEY-CLIENT PRIVILEGED AND CONFIDENTIAL</w:t>
      </w:r>
    </w:p>
    <w:p>
      <w:pPr>
        <w:pStyle w:val="Normal"/>
        <w:jc w:val="center"/>
        <w:rPr>
          <w:b/>
        </w:rPr>
      </w:pPr>
      <w:r>
        <w:rPr>
          <w:b/>
        </w:rPr>
      </w:r>
    </w:p>
    <w:p>
      <w:pPr>
        <w:pStyle w:val="Normal"/>
        <w:tabs>
          <w:tab w:val="clear" w:pos="720"/>
          <w:tab w:val="right" w:pos="0" w:leader="none"/>
          <w:tab w:val="right" w:pos="7200" w:leader="none"/>
          <w:tab w:val="right" w:pos="8190" w:leader="none"/>
        </w:tabs>
        <w:ind w:hanging="2070" w:start="1440" w:end="0"/>
        <w:rPr>
          <w:sz w:val="26"/>
        </w:rPr>
      </w:pPr>
      <w:r>
        <w:rPr>
          <w:sz w:val="26"/>
        </w:rPr>
      </w:r>
    </w:p>
    <w:p>
      <w:pPr>
        <w:pStyle w:val="Normal"/>
        <w:rPr>
          <w:sz w:val="26"/>
        </w:rPr>
      </w:pPr>
      <w:r>
        <w:rPr>
          <w:sz w:val="26"/>
        </w:rPr>
      </w:r>
    </w:p>
    <w:p>
      <w:pPr>
        <w:pStyle w:val="Normal"/>
        <w:rPr>
          <w:sz w:val="26"/>
        </w:rPr>
      </w:pPr>
      <w:r>
        <w:rPr>
          <w:sz w:val="26"/>
        </w:rPr>
        <w:t>To:</w:t>
        <w:tab/>
        <w:tab/>
        <w:t>Mark Haedicke</w:t>
      </w:r>
    </w:p>
    <w:p>
      <w:pPr>
        <w:pStyle w:val="Normal"/>
        <w:rPr>
          <w:sz w:val="26"/>
        </w:rPr>
      </w:pPr>
      <w:r>
        <w:rPr>
          <w:sz w:val="26"/>
        </w:rPr>
        <w:tab/>
        <w:tab/>
        <w:t>Lance Schuler</w:t>
      </w:r>
    </w:p>
    <w:p>
      <w:pPr>
        <w:pStyle w:val="Normal"/>
        <w:rPr>
          <w:sz w:val="26"/>
        </w:rPr>
      </w:pPr>
      <w:r>
        <w:rPr>
          <w:sz w:val="26"/>
        </w:rPr>
      </w:r>
    </w:p>
    <w:p>
      <w:pPr>
        <w:pStyle w:val="Normal"/>
        <w:rPr>
          <w:sz w:val="26"/>
        </w:rPr>
      </w:pPr>
      <w:r>
        <w:rPr>
          <w:sz w:val="26"/>
        </w:rPr>
        <w:t>From:</w:t>
        <w:tab/>
        <w:tab/>
        <w:t>Eddy Daniels</w:t>
      </w:r>
    </w:p>
    <w:p>
      <w:pPr>
        <w:pStyle w:val="Normal"/>
        <w:rPr>
          <w:sz w:val="26"/>
        </w:rPr>
      </w:pPr>
      <w:r>
        <w:rPr>
          <w:sz w:val="26"/>
        </w:rPr>
      </w:r>
    </w:p>
    <w:p>
      <w:pPr>
        <w:pStyle w:val="Normal"/>
        <w:rPr>
          <w:sz w:val="26"/>
        </w:rPr>
      </w:pPr>
      <w:r>
        <w:rPr>
          <w:sz w:val="26"/>
        </w:rPr>
        <w:t>Subject:</w:t>
        <w:tab/>
        <w:t>Encorp, Inc.</w:t>
      </w:r>
    </w:p>
    <w:p>
      <w:pPr>
        <w:pStyle w:val="Normal"/>
        <w:rPr>
          <w:sz w:val="26"/>
        </w:rPr>
      </w:pPr>
      <w:r>
        <w:rPr>
          <w:sz w:val="26"/>
        </w:rPr>
        <w:tab/>
        <w:tab/>
      </w:r>
    </w:p>
    <w:p>
      <w:pPr>
        <w:pStyle w:val="Normal"/>
        <w:rPr>
          <w:sz w:val="26"/>
        </w:rPr>
      </w:pPr>
      <w:r>
        <w:rPr>
          <w:sz w:val="26"/>
        </w:rPr>
        <w:t>Date:</w:t>
        <w:tab/>
        <w:tab/>
        <w:t>February 15, 2001</w:t>
      </w:r>
    </w:p>
    <w:p>
      <w:pPr>
        <w:pStyle w:val="Normal"/>
        <w:rPr>
          <w:sz w:val="26"/>
        </w:rPr>
      </w:pPr>
      <w:r>
        <w:rPr>
          <w:sz w:val="26"/>
        </w:rPr>
      </w:r>
    </w:p>
    <w:p>
      <w:pPr>
        <w:pStyle w:val="Normal"/>
        <w:pBdr>
          <w:top w:val="single" w:sz="12" w:space="1" w:color="000000"/>
        </w:pBdr>
        <w:jc w:val="both"/>
        <w:rPr>
          <w:sz w:val="26"/>
        </w:rPr>
      </w:pPr>
      <w:r>
        <w:rPr>
          <w:sz w:val="26"/>
        </w:rPr>
      </w:r>
    </w:p>
    <w:p>
      <w:pPr>
        <w:pStyle w:val="Normal"/>
        <w:jc w:val="both"/>
        <w:rPr>
          <w:sz w:val="26"/>
        </w:rPr>
      </w:pPr>
      <w:r>
        <w:rPr>
          <w:sz w:val="26"/>
        </w:rPr>
        <w:t>A Deal Approval Sheet is being circulated for signature today concerning a $5,000,000 investment in Encorp, Inc. (“Encorp”), a Delaware corporation engaged in the business of providing control, communication and grid interconnection solutions for auxilary and emergency power generators.  In Febraury 2000, ENA made a $3,000,000 investment in Series C convertible preferred shares and warrants (transferred to ECTMI Trutta Holdings LP (“Trutta”) as of 12/07/00).  Now, ENA is considering a follow-on investment in Series D units (each unit consists of a Series D convertible preferred share and a 5 year penny warrant exerciseable if there is no qualifying IPO by year end 2001). Together with the previous investment, ENA’s investment will represent a 19.6% fully diluted interest in Encorp, Inc.</w:t>
      </w:r>
    </w:p>
    <w:p>
      <w:pPr>
        <w:pStyle w:val="Normal"/>
        <w:jc w:val="both"/>
        <w:rPr>
          <w:sz w:val="26"/>
        </w:rPr>
      </w:pPr>
      <w:r>
        <w:rPr>
          <w:sz w:val="26"/>
        </w:rPr>
      </w:r>
    </w:p>
    <w:p>
      <w:pPr>
        <w:pStyle w:val="Normal"/>
        <w:jc w:val="both"/>
        <w:rPr>
          <w:sz w:val="26"/>
        </w:rPr>
      </w:pPr>
      <w:r>
        <w:rPr>
          <w:sz w:val="26"/>
        </w:rPr>
        <w:t xml:space="preserve">On February 9, 2001, Trutta, in its capacity as a Series C holder, consented to the issuance of the Series D units and the related changes to the company’s corporate papers subject to a right for ENA (or its affiliates) to purchase up to $5,000,000 of Series D units by Feb. 28, 2001.   </w:t>
      </w:r>
    </w:p>
    <w:p>
      <w:pPr>
        <w:pStyle w:val="Normal"/>
        <w:jc w:val="both"/>
        <w:rPr>
          <w:sz w:val="26"/>
        </w:rPr>
      </w:pPr>
      <w:r>
        <w:rPr>
          <w:sz w:val="26"/>
        </w:rPr>
      </w:r>
    </w:p>
    <w:p>
      <w:pPr>
        <w:pStyle w:val="Normal"/>
        <w:jc w:val="both"/>
        <w:rPr>
          <w:sz w:val="26"/>
        </w:rPr>
      </w:pPr>
      <w:r>
        <w:rPr>
          <w:sz w:val="26"/>
        </w:rPr>
        <w:t xml:space="preserve">As a consequence of the Series C purchase, Series C holders were allowed to designate one director to the board of Encorp (Charlie Vetters).  Similarly, the Series D holders will get to designate one director.  It is not anticipated that another Enron designee would be added to the board.  </w:t>
      </w:r>
    </w:p>
    <w:p>
      <w:pPr>
        <w:pStyle w:val="Normal"/>
        <w:jc w:val="both"/>
        <w:rPr>
          <w:sz w:val="26"/>
        </w:rPr>
      </w:pPr>
      <w:r>
        <w:rPr>
          <w:sz w:val="26"/>
        </w:rPr>
      </w:r>
    </w:p>
    <w:p>
      <w:pPr>
        <w:pStyle w:val="Normal"/>
        <w:jc w:val="both"/>
        <w:rPr>
          <w:sz w:val="26"/>
        </w:rPr>
      </w:pPr>
      <w:r>
        <w:rPr>
          <w:sz w:val="26"/>
        </w:rPr>
        <w:t>As a Series C and Series D holder, Enron would have registration rights (piggyback, demand and S-3 demand rights).  Consent of holders of at least 33% of the registrable securities is required to trigger a demand registration.  With or without a Series D investment, Enron would need consent of at least one other large shareholder to trigger a demand registration.</w:t>
      </w:r>
    </w:p>
    <w:p>
      <w:pPr>
        <w:pStyle w:val="Normal"/>
        <w:jc w:val="both"/>
        <w:rPr>
          <w:sz w:val="26"/>
        </w:rPr>
      </w:pPr>
      <w:r>
        <w:rPr>
          <w:sz w:val="26"/>
        </w:rPr>
      </w:r>
    </w:p>
    <w:p>
      <w:pPr>
        <w:pStyle w:val="Normal"/>
        <w:jc w:val="both"/>
        <w:rPr>
          <w:sz w:val="26"/>
        </w:rPr>
      </w:pPr>
      <w:r>
        <w:rPr>
          <w:sz w:val="26"/>
        </w:rPr>
        <w:t>As noted in the DASH, there are no non-standard legal risks in this transaction other than some potential intellectual property issues revolving around certain trademarks and processes (which may or may not be patentable) which have not been processed through the trademark registration and patent process.</w:t>
      </w:r>
    </w:p>
    <w:p>
      <w:pPr>
        <w:pStyle w:val="Normal"/>
        <w:rPr>
          <w:sz w:val="26"/>
        </w:rPr>
      </w:pPr>
      <w:r>
        <w:rPr>
          <w:sz w:val="26"/>
        </w:rPr>
      </w:r>
    </w:p>
    <w:p>
      <w:pPr>
        <w:pStyle w:val="Normal"/>
        <w:rPr>
          <w:sz w:val="26"/>
        </w:rPr>
      </w:pPr>
      <w:r>
        <w:rPr>
          <w:sz w:val="26"/>
        </w:rPr>
        <w:tab/>
        <w:tab/>
        <w:tab/>
        <w:tab/>
        <w:tab/>
        <w:tab/>
        <w:tab/>
        <w:tab/>
        <w:t>EDD</w:t>
      </w:r>
    </w:p>
    <w:p>
      <w:pPr>
        <w:pStyle w:val="Normal"/>
        <w:rPr>
          <w:sz w:val="26"/>
        </w:rPr>
      </w:pPr>
      <w:r>
        <w:rPr>
          <w:sz w:val="26"/>
        </w:rPr>
        <w:t>Distribution:</w:t>
      </w:r>
    </w:p>
    <w:p>
      <w:pPr>
        <w:pStyle w:val="Normal"/>
        <w:rPr>
          <w:sz w:val="26"/>
        </w:rPr>
      </w:pPr>
      <w:r>
        <w:rPr>
          <w:sz w:val="26"/>
        </w:rPr>
      </w:r>
    </w:p>
    <w:p>
      <w:pPr>
        <w:pStyle w:val="Normal"/>
        <w:rPr>
          <w:sz w:val="26"/>
        </w:rPr>
      </w:pPr>
      <w:r>
        <w:rPr>
          <w:sz w:val="26"/>
        </w:rPr>
        <w:t>Mr. John J. Lavorato</w:t>
      </w:r>
    </w:p>
    <w:p>
      <w:pPr>
        <w:pStyle w:val="Normal"/>
        <w:rPr>
          <w:sz w:val="26"/>
        </w:rPr>
      </w:pPr>
      <w:r>
        <w:rPr>
          <w:sz w:val="26"/>
        </w:rPr>
        <w:t>Mr. Michael L. Miller</w:t>
      </w:r>
    </w:p>
    <w:p>
      <w:pPr>
        <w:pStyle w:val="Normal"/>
        <w:rPr>
          <w:sz w:val="26"/>
        </w:rPr>
      </w:pPr>
      <w:r>
        <w:rPr>
          <w:sz w:val="26"/>
        </w:rPr>
        <w:t>Mr. Charles Vetters</w:t>
      </w:r>
    </w:p>
    <w:p>
      <w:pPr>
        <w:pStyle w:val="Normal"/>
        <w:rPr>
          <w:sz w:val="26"/>
        </w:rPr>
      </w:pPr>
      <w:r>
        <w:rPr>
          <w:sz w:val="26"/>
        </w:rPr>
      </w:r>
    </w:p>
    <w:sectPr>
      <w:footerReference w:type="default" r:id="rId3"/>
      <w:footerReference w:type="first" r:id="rId4"/>
      <w:type w:val="nextPage"/>
      <w:pgSz w:w="12240" w:h="15840"/>
      <w:pgMar w:left="1440" w:right="1440" w:gutter="0" w:header="0" w:top="1008" w:footer="720" w:bottom="86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rPr/>
    </w:pPr>
    <w:r>
      <w:rPr>
        <w:sz w:val="16"/>
      </w:rPr>
      <w:t>DLYONS/</w:t>
    </w:r>
    <w:r>
      <w:rPr>
        <w:caps/>
        <w:sz w:val="16"/>
      </w:rPr>
      <w:t>memo/DISTRIB2</w:t>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Tms Rmn;Times New Roman" w:hAnsi="Tms Rmn;Times New Roman" w:cs="Tms Rmn;Times New Roma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hang2">
    <w:name w:val="hang2"/>
    <w:basedOn w:val="Normal"/>
    <w:next w:val="Normal"/>
    <w:qFormat/>
    <w:pPr>
      <w:ind w:hanging="2880" w:start="288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2001-02-15T15:36:00Z</dcterms:created>
  <dc:creator>ECT</dc:creator>
  <dc:description>Enron Gas Services Group memo form</dc:description>
  <cp:keywords>COMPLIANCE</cp:keywords>
  <dc:language>en-CA</dc:language>
  <cp:lastModifiedBy>edaniel2</cp:lastModifiedBy>
  <cp:lastPrinted>2001-02-15T11:27:00Z</cp:lastPrinted>
  <dcterms:modified xsi:type="dcterms:W3CDTF">2001-02-15T18:34:00Z</dcterms:modified>
  <cp:revision>3</cp:revision>
  <dc:subject>1994 COMPLIANCE</dc:subject>
  <dc:title>ENRON CORP.</dc:title>
</cp:coreProperties>
</file>