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sz w:val="28"/>
          <w:u w:val="single"/>
        </w:rPr>
      </w:pPr>
      <w:r>
        <w:rPr>
          <w:sz w:val="28"/>
          <w:u w:val="single"/>
        </w:rPr>
      </w:r>
    </w:p>
    <w:p>
      <w:pPr>
        <w:pStyle w:val="Heading2"/>
        <w:ind w:hanging="0" w:start="0"/>
        <w:jc w:val="center"/>
        <w:rPr>
          <w:sz w:val="28"/>
          <w:u w:val="single"/>
          <w:lang w:val="en-CA" w:eastAsia="en-CA"/>
        </w:rPr>
      </w:pPr>
      <w:r>
        <w:rPr>
          <w:sz w:val="28"/>
          <w:u w:val="single"/>
          <w:lang w:val="en-CA" w:eastAsia="en-CA"/>
        </w:rPr>
        <w:drawing>
          <wp:anchor behindDoc="0" distT="0" distB="0" distL="114935" distR="114935" simplePos="0" locked="0" layoutInCell="1" allowOverlap="1" relativeHeight="3">
            <wp:simplePos x="0" y="0"/>
            <wp:positionH relativeFrom="column">
              <wp:posOffset>2171700</wp:posOffset>
            </wp:positionH>
            <wp:positionV relativeFrom="paragraph">
              <wp:posOffset>-204470</wp:posOffset>
            </wp:positionV>
            <wp:extent cx="1371600" cy="1031875"/>
            <wp:effectExtent l="0" t="0" r="0" b="0"/>
            <wp:wrapNone/>
            <wp:docPr id="1" name="oasis_logo%20cop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sis_logo%20copy" descr="" title=""/>
                    <pic:cNvPicPr>
                      <a:picLocks noChangeAspect="1" noChangeArrowheads="1"/>
                    </pic:cNvPicPr>
                  </pic:nvPicPr>
                  <pic:blipFill>
                    <a:blip r:embed="rId2"/>
                    <a:srcRect l="-5" t="-6" r="-5" b="-6"/>
                    <a:stretch>
                      <a:fillRect/>
                    </a:stretch>
                  </pic:blipFill>
                  <pic:spPr bwMode="auto">
                    <a:xfrm>
                      <a:off x="0" y="0"/>
                      <a:ext cx="1371600" cy="1031875"/>
                    </a:xfrm>
                    <a:prstGeom prst="rect">
                      <a:avLst/>
                    </a:prstGeom>
                    <a:noFill/>
                  </pic:spPr>
                </pic:pic>
              </a:graphicData>
            </a:graphic>
          </wp:anchor>
        </w:drawing>
      </w:r>
    </w:p>
    <w:p>
      <w:pPr>
        <w:pStyle w:val="Heading2"/>
        <w:ind w:hanging="0" w:start="0"/>
        <w:jc w:val="center"/>
        <w:rPr>
          <w:sz w:val="28"/>
          <w:u w:val="single"/>
        </w:rPr>
      </w:pPr>
      <w:r>
        <w:rPr>
          <w:sz w:val="28"/>
          <w:u w:val="single"/>
        </w:rPr>
      </w:r>
    </w:p>
    <w:p>
      <w:pPr>
        <w:pStyle w:val="Heading2"/>
        <w:ind w:hanging="0" w:start="0"/>
        <w:jc w:val="center"/>
        <w:rPr>
          <w:sz w:val="28"/>
          <w:u w:val="single"/>
        </w:rPr>
      </w:pPr>
      <w:r>
        <w:rPr>
          <w:sz w:val="28"/>
          <w:u w:val="single"/>
        </w:rPr>
      </w:r>
    </w:p>
    <w:p>
      <w:pPr>
        <w:pStyle w:val="Heading2"/>
        <w:ind w:hanging="0" w:start="0"/>
        <w:jc w:val="center"/>
        <w:rPr>
          <w:sz w:val="28"/>
          <w:u w:val="single"/>
        </w:rPr>
      </w:pPr>
      <w:r>
        <w:rPr>
          <w:sz w:val="28"/>
          <w:u w:val="single"/>
        </w:rPr>
      </w:r>
    </w:p>
    <w:p>
      <w:pPr>
        <w:pStyle w:val="Heading2"/>
        <w:ind w:hanging="0" w:start="0"/>
        <w:jc w:val="center"/>
        <w:rPr>
          <w:sz w:val="28"/>
          <w:u w:val="single"/>
        </w:rPr>
      </w:pPr>
      <w:r>
        <w:rPr>
          <w:sz w:val="28"/>
          <w:u w:val="single"/>
        </w:rPr>
      </w:r>
    </w:p>
    <w:p>
      <w:pPr>
        <w:pStyle w:val="Heading2"/>
        <w:ind w:hanging="0" w:start="0"/>
        <w:jc w:val="center"/>
        <w:rPr>
          <w:sz w:val="28"/>
          <w:u w:val="single"/>
        </w:rPr>
      </w:pPr>
      <w:r>
        <w:rPr>
          <w:sz w:val="28"/>
          <w:u w:val="single"/>
        </w:rPr>
        <w:t>Enron North America (ENA) Transportation Proposal</w:t>
      </w:r>
    </w:p>
    <w:p>
      <w:pPr>
        <w:pStyle w:val="Normal"/>
        <w:jc w:val="both"/>
        <w:rPr>
          <w:sz w:val="18"/>
          <w:u w:val="single"/>
        </w:rPr>
      </w:pPr>
      <w:r>
        <w:rPr>
          <w:sz w:val="18"/>
          <w:u w:val="single"/>
        </w:rPr>
      </w:r>
    </w:p>
    <w:p>
      <w:pPr>
        <w:pStyle w:val="Normal"/>
        <w:jc w:val="both"/>
        <w:rPr>
          <w:sz w:val="18"/>
        </w:rPr>
      </w:pPr>
      <w:r>
        <w:rPr>
          <w:sz w:val="18"/>
        </w:rPr>
      </w:r>
    </w:p>
    <w:p>
      <w:pPr>
        <w:pStyle w:val="Heading2"/>
        <w:ind w:hanging="0" w:start="0"/>
        <w:jc w:val="both"/>
        <w:rPr/>
      </w:pPr>
      <w:r>
        <w:rPr/>
        <w:t>Firm Transportation (Intrastate Contract)</w:t>
      </w:r>
    </w:p>
    <w:p>
      <w:pPr>
        <w:pStyle w:val="Normal"/>
        <w:jc w:val="both"/>
        <w:rPr>
          <w:sz w:val="18"/>
        </w:rPr>
      </w:pPr>
      <w:r>
        <w:rPr>
          <w:sz w:val="18"/>
        </w:rPr>
      </w:r>
    </w:p>
    <w:p>
      <w:pPr>
        <w:pStyle w:val="Normal"/>
        <w:jc w:val="both"/>
        <w:rPr>
          <w:sz w:val="22"/>
          <w:u w:val="single"/>
        </w:rPr>
      </w:pPr>
      <w:r>
        <w:rPr>
          <w:b/>
          <w:bCs/>
          <w:sz w:val="22"/>
          <w:u w:val="single"/>
        </w:rPr>
        <w:t>Daily Contract Quantity (DCQ):</w:t>
      </w:r>
      <w:r>
        <w:rPr>
          <w:b/>
          <w:bCs/>
          <w:sz w:val="22"/>
        </w:rPr>
        <w:t xml:space="preserve">  </w:t>
      </w:r>
      <w:r>
        <w:rPr>
          <w:sz w:val="22"/>
        </w:rPr>
        <w:t>Volumes to be based on Lone Star Kerrville’s (Oasis meter #1475) burn schedule. This schedule will be provided by ENA at a later date.</w:t>
      </w:r>
    </w:p>
    <w:p>
      <w:pPr>
        <w:pStyle w:val="Normal"/>
        <w:jc w:val="both"/>
        <w:rPr>
          <w:sz w:val="22"/>
          <w:u w:val="single"/>
        </w:rPr>
      </w:pPr>
      <w:r>
        <w:rPr>
          <w:sz w:val="22"/>
          <w:u w:val="single"/>
        </w:rPr>
      </w:r>
    </w:p>
    <w:p>
      <w:pPr>
        <w:pStyle w:val="Normal"/>
        <w:jc w:val="both"/>
        <w:rPr>
          <w:sz w:val="22"/>
          <w:u w:val="single"/>
        </w:rPr>
      </w:pPr>
      <w:r>
        <w:rPr>
          <w:b/>
          <w:bCs/>
          <w:sz w:val="22"/>
          <w:u w:val="single"/>
        </w:rPr>
        <w:t>Term:</w:t>
      </w:r>
      <w:r>
        <w:rPr>
          <w:b/>
          <w:bCs/>
          <w:sz w:val="22"/>
        </w:rPr>
        <w:t xml:space="preserve">  </w:t>
      </w:r>
      <w:r>
        <w:rPr>
          <w:sz w:val="22"/>
        </w:rPr>
        <w:t>9/1/01 to 8/31/02</w:t>
      </w:r>
    </w:p>
    <w:p>
      <w:pPr>
        <w:pStyle w:val="Normal"/>
        <w:jc w:val="both"/>
        <w:rPr>
          <w:sz w:val="22"/>
          <w:u w:val="single"/>
        </w:rPr>
      </w:pPr>
      <w:r>
        <w:rPr>
          <w:sz w:val="22"/>
          <w:u w:val="single"/>
        </w:rPr>
      </w:r>
    </w:p>
    <w:p>
      <w:pPr>
        <w:pStyle w:val="BodyText3"/>
        <w:rPr/>
      </w:pPr>
      <w:r>
        <w:rPr>
          <w:b/>
          <w:bCs/>
          <w:u w:val="single"/>
        </w:rPr>
        <w:t>Demand Fees:</w:t>
      </w:r>
      <w:r>
        <w:rPr/>
        <w:t xml:space="preserve">  ENA will pay five cents ($0.05) per MMBtu Demand Fee based on Lone Star Kerrville’s Burn schedule during the term of this contract.</w:t>
      </w:r>
    </w:p>
    <w:p>
      <w:pPr>
        <w:pStyle w:val="Normal"/>
        <w:jc w:val="both"/>
        <w:rPr>
          <w:sz w:val="22"/>
        </w:rPr>
      </w:pPr>
      <w:r>
        <w:rPr>
          <w:sz w:val="22"/>
        </w:rPr>
      </w:r>
    </w:p>
    <w:p>
      <w:pPr>
        <w:pStyle w:val="BlockText"/>
        <w:ind w:hanging="0" w:start="0" w:end="0"/>
        <w:jc w:val="both"/>
        <w:rPr/>
      </w:pPr>
      <w:r>
        <w:rPr>
          <w:b/>
          <w:bCs/>
          <w:u w:val="single"/>
        </w:rPr>
        <w:t>Commodity:</w:t>
      </w:r>
      <w:r>
        <w:rPr>
          <w:b/>
          <w:bCs/>
        </w:rPr>
        <w:t xml:space="preserve">  </w:t>
      </w:r>
      <w:r>
        <w:rPr/>
        <w:t>In addition to the above Demand Fees, Commodity Fees (billed on receipts) for any gas received at Waha Area Receipt Points and redelivered to the primary meter 1475 Lone Star Kerrville, Waha Area Delivery Points, Katy Area Delivery Points and Mid-System Area Delivery Points as listed below will be four cents ($0.04) per MMBtu plus 1% Fuel Retention.  Any monthly volumes delivered in excess of the scheduled Kerrville volumes will be billed at nine cents ($0.09) per MMBtu plus 1% Fuel Retention.</w:t>
      </w:r>
    </w:p>
    <w:p>
      <w:pPr>
        <w:pStyle w:val="Normal"/>
        <w:jc w:val="both"/>
        <w:rPr>
          <w:sz w:val="22"/>
        </w:rPr>
      </w:pPr>
      <w:r>
        <w:rPr>
          <w:sz w:val="22"/>
        </w:rPr>
      </w:r>
    </w:p>
    <w:p>
      <w:pPr>
        <w:pStyle w:val="Normal"/>
        <w:ind w:end="-720"/>
        <w:jc w:val="both"/>
        <w:rPr>
          <w:b/>
          <w:bCs/>
          <w:sz w:val="22"/>
          <w:u w:val="single"/>
        </w:rPr>
      </w:pPr>
      <w:r>
        <w:rPr>
          <w:b/>
          <w:bCs/>
          <w:sz w:val="22"/>
          <w:u w:val="single"/>
        </w:rPr>
        <w:t>Receipt &amp; Delivery Points:</w:t>
      </w:r>
    </w:p>
    <w:p>
      <w:pPr>
        <w:pStyle w:val="Normal"/>
        <w:ind w:end="-720"/>
        <w:jc w:val="both"/>
        <w:rPr>
          <w:b/>
          <w:bCs/>
          <w:sz w:val="22"/>
          <w:u w:val="single"/>
        </w:rPr>
      </w:pPr>
      <w:r>
        <w:rPr>
          <w:b/>
          <w:bCs/>
          <w:sz w:val="22"/>
          <w:u w:val="single"/>
        </w:rPr>
      </w:r>
    </w:p>
    <w:tbl>
      <w:tblPr>
        <w:tblW w:w="8964" w:type="dxa"/>
        <w:jc w:val="start"/>
        <w:tblInd w:w="144" w:type="dxa"/>
        <w:tblLayout w:type="fixed"/>
        <w:tblCellMar>
          <w:top w:w="0" w:type="dxa"/>
          <w:start w:w="108" w:type="dxa"/>
          <w:bottom w:w="0" w:type="dxa"/>
          <w:end w:w="108" w:type="dxa"/>
        </w:tblCellMar>
      </w:tblPr>
      <w:tblGrid>
        <w:gridCol w:w="4824"/>
        <w:gridCol w:w="4140"/>
      </w:tblGrid>
      <w:tr>
        <w:trPr/>
        <w:tc>
          <w:tcPr>
            <w:tcW w:w="4824" w:type="dxa"/>
            <w:tcBorders>
              <w:top w:val="single" w:sz="4" w:space="0" w:color="000000"/>
              <w:start w:val="single" w:sz="4" w:space="0" w:color="000000"/>
              <w:bottom w:val="single" w:sz="4" w:space="0" w:color="000000"/>
              <w:end w:val="single" w:sz="4" w:space="0" w:color="000000"/>
            </w:tcBorders>
          </w:tcPr>
          <w:p>
            <w:pPr>
              <w:pStyle w:val="Heading1"/>
              <w:jc w:val="both"/>
              <w:rPr>
                <w:sz w:val="22"/>
              </w:rPr>
            </w:pPr>
            <w:r>
              <w:rPr>
                <w:sz w:val="22"/>
              </w:rPr>
              <w:t>Waha Area Receipt Points</w:t>
            </w:r>
          </w:p>
        </w:tc>
        <w:tc>
          <w:tcPr>
            <w:tcW w:w="4140" w:type="dxa"/>
            <w:tcBorders>
              <w:top w:val="single" w:sz="4" w:space="0" w:color="000000"/>
              <w:start w:val="single" w:sz="4" w:space="0" w:color="000000"/>
              <w:bottom w:val="single" w:sz="4" w:space="0" w:color="000000"/>
              <w:end w:val="single" w:sz="4" w:space="0" w:color="000000"/>
            </w:tcBorders>
          </w:tcPr>
          <w:p>
            <w:pPr>
              <w:pStyle w:val="Heading1"/>
              <w:jc w:val="both"/>
              <w:rPr>
                <w:sz w:val="22"/>
              </w:rPr>
            </w:pPr>
            <w:r>
              <w:rPr>
                <w:sz w:val="22"/>
              </w:rPr>
              <w:t>Waha Area Delivery Points (For Kerrville</w:t>
            </w:r>
          </w:p>
          <w:p>
            <w:pPr>
              <w:pStyle w:val="Heading1"/>
              <w:jc w:val="both"/>
              <w:rPr>
                <w:sz w:val="22"/>
              </w:rPr>
            </w:pPr>
            <w:r>
              <w:rPr>
                <w:sz w:val="22"/>
              </w:rPr>
              <w:t xml:space="preserve"> </w:t>
            </w:r>
            <w:r>
              <w:rPr>
                <w:sz w:val="22"/>
              </w:rPr>
              <w:t>Imbalances only)</w:t>
            </w:r>
          </w:p>
        </w:tc>
      </w:tr>
      <w:tr>
        <w:trPr/>
        <w:tc>
          <w:tcPr>
            <w:tcW w:w="4824" w:type="dxa"/>
            <w:tcBorders>
              <w:top w:val="single" w:sz="4" w:space="0" w:color="000000"/>
              <w:start w:val="single" w:sz="4" w:space="0" w:color="000000"/>
              <w:bottom w:val="single" w:sz="4" w:space="0" w:color="000000"/>
              <w:end w:val="single" w:sz="4" w:space="0" w:color="000000"/>
            </w:tcBorders>
          </w:tcPr>
          <w:p>
            <w:pPr>
              <w:pStyle w:val="Heading1"/>
              <w:jc w:val="both"/>
              <w:rPr>
                <w:b w:val="false"/>
                <w:bCs w:val="false"/>
                <w:sz w:val="22"/>
              </w:rPr>
            </w:pPr>
            <w:r>
              <w:rPr>
                <w:b w:val="false"/>
                <w:bCs w:val="false"/>
                <w:sz w:val="22"/>
              </w:rPr>
              <w:t>3348 Duke Sonora</w:t>
            </w:r>
          </w:p>
        </w:tc>
        <w:tc>
          <w:tcPr>
            <w:tcW w:w="4140" w:type="dxa"/>
            <w:tcBorders>
              <w:top w:val="single" w:sz="4" w:space="0" w:color="000000"/>
              <w:start w:val="single" w:sz="4" w:space="0" w:color="000000"/>
              <w:bottom w:val="single" w:sz="4" w:space="0" w:color="000000"/>
              <w:end w:val="single" w:sz="4" w:space="0" w:color="000000"/>
            </w:tcBorders>
          </w:tcPr>
          <w:p>
            <w:pPr>
              <w:pStyle w:val="Heading1"/>
              <w:jc w:val="both"/>
              <w:rPr>
                <w:b w:val="false"/>
                <w:bCs w:val="false"/>
                <w:sz w:val="22"/>
              </w:rPr>
            </w:pPr>
            <w:r>
              <w:rPr>
                <w:b w:val="false"/>
                <w:bCs w:val="false"/>
                <w:sz w:val="22"/>
              </w:rPr>
              <w:t xml:space="preserve">0728/1265 PG&amp;E </w:t>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4466 WGR / Gomez Plant</w:t>
            </w:r>
          </w:p>
        </w:tc>
        <w:tc>
          <w:tcPr>
            <w:tcW w:w="414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1229 Lone Star</w:t>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4663 Duke / Mobil Waha</w:t>
            </w:r>
          </w:p>
        </w:tc>
        <w:tc>
          <w:tcPr>
            <w:tcW w:w="414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1248/5896 Oneok Westar</w:t>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5799 Duke Sutton</w:t>
            </w:r>
          </w:p>
        </w:tc>
        <w:tc>
          <w:tcPr>
            <w:tcW w:w="414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1527 TUFCO Waha</w:t>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6307 J. Cleo Thompson / OPEC</w:t>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6544 Duke Whitehead</w:t>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6632 Duke Peachridge Ozona</w:t>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6644 Duke / Mobil Coyanosa</w:t>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6752 EOG / Howard’s Draw</w:t>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bl>
    <w:p>
      <w:pPr>
        <w:pStyle w:val="Normal"/>
        <w:ind w:end="-720"/>
        <w:jc w:val="both"/>
        <w:rPr>
          <w:sz w:val="22"/>
        </w:rPr>
      </w:pPr>
      <w:r>
        <w:rPr>
          <w:sz w:val="22"/>
        </w:rPr>
      </w:r>
    </w:p>
    <w:tbl>
      <w:tblPr>
        <w:tblW w:w="4824" w:type="dxa"/>
        <w:jc w:val="start"/>
        <w:tblInd w:w="144" w:type="dxa"/>
        <w:tblLayout w:type="fixed"/>
        <w:tblCellMar>
          <w:top w:w="0" w:type="dxa"/>
          <w:start w:w="108" w:type="dxa"/>
          <w:bottom w:w="0" w:type="dxa"/>
          <w:end w:w="108" w:type="dxa"/>
        </w:tblCellMar>
      </w:tblPr>
      <w:tblGrid>
        <w:gridCol w:w="4824"/>
      </w:tblGrid>
      <w:tr>
        <w:trPr/>
        <w:tc>
          <w:tcPr>
            <w:tcW w:w="4824" w:type="dxa"/>
            <w:tcBorders>
              <w:top w:val="single" w:sz="4" w:space="0" w:color="000000"/>
              <w:start w:val="single" w:sz="4" w:space="0" w:color="000000"/>
              <w:bottom w:val="single" w:sz="4" w:space="0" w:color="000000"/>
              <w:end w:val="single" w:sz="4" w:space="0" w:color="000000"/>
            </w:tcBorders>
          </w:tcPr>
          <w:p>
            <w:pPr>
              <w:pStyle w:val="Heading1"/>
              <w:jc w:val="both"/>
              <w:rPr>
                <w:sz w:val="22"/>
              </w:rPr>
            </w:pPr>
            <w:r>
              <w:rPr>
                <w:sz w:val="22"/>
              </w:rPr>
              <w:t>Katy Area Delivery Points (For</w:t>
            </w:r>
          </w:p>
          <w:p>
            <w:pPr>
              <w:pStyle w:val="Heading1"/>
              <w:jc w:val="both"/>
              <w:rPr>
                <w:sz w:val="22"/>
              </w:rPr>
            </w:pPr>
            <w:r>
              <w:rPr>
                <w:sz w:val="22"/>
              </w:rPr>
              <w:t xml:space="preserve"> </w:t>
            </w:r>
            <w:r>
              <w:rPr>
                <w:sz w:val="22"/>
              </w:rPr>
              <w:t>Kerrville Imbalances only)</w:t>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1299/1302 HPL</w:t>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1300/1303 D-T Line</w:t>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1382 Kinder Morgan</w:t>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1541 PG&amp;E / Teco</w:t>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8726/8727 Aquila Katy Storage</w:t>
            </w:r>
          </w:p>
        </w:tc>
      </w:tr>
    </w:tbl>
    <w:p>
      <w:pPr>
        <w:pStyle w:val="Normal"/>
        <w:ind w:end="-720"/>
        <w:jc w:val="both"/>
        <w:rPr>
          <w:sz w:val="22"/>
        </w:rPr>
      </w:pPr>
      <w:r>
        <w:rPr>
          <w:sz w:val="22"/>
        </w:rPr>
      </w:r>
    </w:p>
    <w:tbl>
      <w:tblPr>
        <w:tblW w:w="4824" w:type="dxa"/>
        <w:jc w:val="start"/>
        <w:tblInd w:w="144" w:type="dxa"/>
        <w:tblLayout w:type="fixed"/>
        <w:tblCellMar>
          <w:top w:w="0" w:type="dxa"/>
          <w:start w:w="108" w:type="dxa"/>
          <w:bottom w:w="0" w:type="dxa"/>
          <w:end w:w="108" w:type="dxa"/>
        </w:tblCellMar>
      </w:tblPr>
      <w:tblGrid>
        <w:gridCol w:w="4824"/>
      </w:tblGrid>
      <w:tr>
        <w:trPr/>
        <w:tc>
          <w:tcPr>
            <w:tcW w:w="4824" w:type="dxa"/>
            <w:tcBorders>
              <w:top w:val="single" w:sz="4" w:space="0" w:color="000000"/>
              <w:start w:val="single" w:sz="4" w:space="0" w:color="000000"/>
              <w:bottom w:val="single" w:sz="4" w:space="0" w:color="000000"/>
              <w:end w:val="single" w:sz="4" w:space="0" w:color="000000"/>
            </w:tcBorders>
          </w:tcPr>
          <w:p>
            <w:pPr>
              <w:pStyle w:val="Heading1"/>
              <w:jc w:val="both"/>
              <w:rPr>
                <w:sz w:val="22"/>
              </w:rPr>
            </w:pPr>
            <w:r>
              <w:rPr>
                <w:sz w:val="22"/>
              </w:rPr>
              <w:t>Mid-System Area Delivery Points (For Kerrville</w:t>
            </w:r>
          </w:p>
          <w:p>
            <w:pPr>
              <w:pStyle w:val="Normal"/>
              <w:rPr>
                <w:b/>
                <w:bCs/>
              </w:rPr>
            </w:pPr>
            <w:r>
              <w:rPr>
                <w:b/>
                <w:bCs/>
              </w:rPr>
              <w:t>Imbalances only)</w:t>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0628 TUFCO Sealy</w:t>
            </w:r>
          </w:p>
        </w:tc>
      </w:tr>
    </w:tbl>
    <w:p>
      <w:pPr>
        <w:pStyle w:val="Normal"/>
        <w:rPr/>
      </w:pPr>
      <w:r>
        <w:rPr/>
      </w:r>
    </w:p>
    <w:tbl>
      <w:tblPr>
        <w:tblW w:w="4824" w:type="dxa"/>
        <w:jc w:val="start"/>
        <w:tblInd w:w="144" w:type="dxa"/>
        <w:tblLayout w:type="fixed"/>
        <w:tblCellMar>
          <w:top w:w="0" w:type="dxa"/>
          <w:start w:w="108" w:type="dxa"/>
          <w:bottom w:w="0" w:type="dxa"/>
          <w:end w:w="108" w:type="dxa"/>
        </w:tblCellMar>
      </w:tblPr>
      <w:tblGrid>
        <w:gridCol w:w="4824"/>
      </w:tblGrid>
      <w:tr>
        <w:trPr/>
        <w:tc>
          <w:tcPr>
            <w:tcW w:w="4824" w:type="dxa"/>
            <w:tcBorders>
              <w:top w:val="single" w:sz="4" w:space="0" w:color="000000"/>
              <w:start w:val="single" w:sz="4" w:space="0" w:color="000000"/>
              <w:bottom w:val="single" w:sz="4" w:space="0" w:color="000000"/>
              <w:end w:val="single" w:sz="4" w:space="0" w:color="000000"/>
            </w:tcBorders>
          </w:tcPr>
          <w:p>
            <w:pPr>
              <w:pStyle w:val="Heading1"/>
              <w:jc w:val="both"/>
              <w:rPr>
                <w:sz w:val="22"/>
              </w:rPr>
            </w:pPr>
            <w:r>
              <w:rPr>
                <w:sz w:val="22"/>
              </w:rPr>
              <w:t>Primary Delivery Point</w:t>
            </w:r>
          </w:p>
        </w:tc>
      </w:tr>
      <w:tr>
        <w:trPr/>
        <w:tc>
          <w:tcPr>
            <w:tcW w:w="4824"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1475 Lone Star Kerrville</w:t>
            </w:r>
          </w:p>
        </w:tc>
      </w:tr>
    </w:tbl>
    <w:p>
      <w:pPr>
        <w:pStyle w:val="Normal"/>
        <w:ind w:end="-720"/>
        <w:jc w:val="both"/>
        <w:rPr>
          <w:sz w:val="22"/>
        </w:rPr>
      </w:pPr>
      <w:r>
        <w:rPr>
          <w:sz w:val="22"/>
        </w:rPr>
      </w:r>
    </w:p>
    <w:p>
      <w:pPr>
        <w:pStyle w:val="Normal"/>
        <w:ind w:end="-720"/>
        <w:jc w:val="both"/>
        <w:rPr>
          <w:sz w:val="22"/>
        </w:rPr>
      </w:pPr>
      <w:r>
        <w:rPr>
          <w:sz w:val="22"/>
        </w:rPr>
        <w:t>All delivery points except meter 1475, will be used only for meter 1475 imbalance volumes.</w:t>
      </w:r>
    </w:p>
    <w:p>
      <w:pPr>
        <w:pStyle w:val="Normal"/>
        <w:ind w:end="-720"/>
        <w:jc w:val="both"/>
        <w:rPr>
          <w:sz w:val="22"/>
        </w:rPr>
      </w:pPr>
      <w:r>
        <w:rPr>
          <w:sz w:val="22"/>
        </w:rPr>
      </w:r>
    </w:p>
    <w:p>
      <w:pPr>
        <w:pStyle w:val="Normal"/>
        <w:ind w:end="-720"/>
        <w:jc w:val="both"/>
        <w:rPr>
          <w:sz w:val="22"/>
        </w:rPr>
      </w:pPr>
      <w:r>
        <w:rPr>
          <w:b/>
          <w:bCs/>
          <w:sz w:val="22"/>
          <w:u w:val="single"/>
        </w:rPr>
        <w:t>Contract Balancing:</w:t>
      </w:r>
    </w:p>
    <w:p>
      <w:pPr>
        <w:pStyle w:val="BodyText"/>
        <w:rPr>
          <w:sz w:val="22"/>
        </w:rPr>
      </w:pPr>
      <w:r>
        <w:rPr>
          <w:sz w:val="22"/>
        </w:rPr>
        <w:t>The Parties will use Best Efforts to maintain real time daily balancing (i.e. physical receipts must equal as close as practicable physical deliveries on a hourly/daily basis.  Daily imbalance tolerance will be plus or minus (+/-) 10% or (+/-) 2,000 MMBtu /d not to exceed in aggregate (+/-) 5% or 25,000 MMBtu.  Oasis standard imbalance penalty of $0.25 / MMBtu will apply for volumes in excess of the (+/-) 25,000 / MMBtu imbalance.  The parties agree to settle any imbalances within thirty days following the termination of this agreement.</w:t>
      </w:r>
    </w:p>
    <w:p>
      <w:pPr>
        <w:pStyle w:val="Normal"/>
        <w:jc w:val="both"/>
        <w:rPr>
          <w:b/>
          <w:bCs/>
          <w:sz w:val="22"/>
        </w:rPr>
      </w:pPr>
      <w:r>
        <w:rPr>
          <w:b/>
          <w:bCs/>
          <w:sz w:val="22"/>
        </w:rPr>
      </w:r>
    </w:p>
    <w:p>
      <w:pPr>
        <w:pStyle w:val="BodyText2"/>
        <w:ind w:end="0"/>
        <w:rPr>
          <w:sz w:val="22"/>
        </w:rPr>
      </w:pPr>
      <w:r>
        <w:rPr>
          <w:sz w:val="22"/>
        </w:rPr>
        <w:t>This proposal for Firm Transportation Service is for discussion purposes only and is subject to the parties reaching a mutually agreeable, definitive contract.</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t>June 8, 2001</w:t>
      </w:r>
    </w:p>
    <w:sectPr>
      <w:footerReference w:type="default" r:id="rId3"/>
      <w:footerReference w:type="first" r:id="rId4"/>
      <w:type w:val="nextPage"/>
      <w:pgSz w:w="12240" w:h="15840"/>
      <w:pgMar w:left="1800" w:right="1440" w:gutter="0" w:header="0"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720"/>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ind w:hanging="0" w:start="0" w:end="-720"/>
      <w:jc w:val="both"/>
      <w:outlineLvl w:val="2"/>
    </w:pPr>
    <w:rPr>
      <w:b/>
      <w:bCs/>
      <w:sz w:val="22"/>
    </w:rPr>
  </w:style>
  <w:style w:type="paragraph" w:styleId="Heading4">
    <w:name w:val="heading 4"/>
    <w:basedOn w:val="Normal"/>
    <w:next w:val="Normal"/>
    <w:qFormat/>
    <w:pPr>
      <w:keepNext w:val="true"/>
      <w:numPr>
        <w:ilvl w:val="3"/>
        <w:numId w:val="1"/>
      </w:numPr>
      <w:ind w:hanging="0" w:start="0" w:end="-720"/>
      <w:jc w:val="both"/>
      <w:outlineLvl w:val="3"/>
    </w:pPr>
    <w:rPr>
      <w:b/>
      <w:bCs/>
    </w:rPr>
  </w:style>
  <w:style w:type="paragraph" w:styleId="Heading5">
    <w:name w:val="heading 5"/>
    <w:basedOn w:val="Normal"/>
    <w:next w:val="Normal"/>
    <w:qFormat/>
    <w:pPr>
      <w:keepNext w:val="true"/>
      <w:numPr>
        <w:ilvl w:val="4"/>
        <w:numId w:val="1"/>
      </w:numPr>
      <w:ind w:hanging="0" w:start="0" w:end="-720"/>
      <w:jc w:val="both"/>
      <w:outlineLvl w:val="4"/>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1440" w:start="1440" w:end="-540"/>
    </w:pPr>
    <w:rPr>
      <w:sz w:val="22"/>
    </w:rPr>
  </w:style>
  <w:style w:type="paragraph" w:styleId="BodyTextIndent">
    <w:name w:val="Body Text Indent"/>
    <w:basedOn w:val="Normal"/>
    <w:pPr>
      <w:ind w:hanging="1440" w:start="144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180"/>
      <w:jc w:val="both"/>
    </w:pPr>
    <w:rPr/>
  </w:style>
  <w:style w:type="paragraph" w:styleId="BodyText3">
    <w:name w:val="Body Text 3"/>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2001-06-07T18:51:00Z</dcterms:created>
  <dc:creator>MGILLIAM</dc:creator>
  <dc:description/>
  <dc:language>en-CA</dc:language>
  <cp:lastModifiedBy>MGILLIAM</cp:lastModifiedBy>
  <cp:lastPrinted>2001-06-07T16:24:00Z</cp:lastPrinted>
  <dcterms:modified xsi:type="dcterms:W3CDTF">2001-06-08T11:42:00Z</dcterms:modified>
  <cp:revision>4</cp:revision>
  <dc:subject/>
  <dc:title>BP Amoco Transportation Proposal</dc:title>
</cp:coreProperties>
</file>