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0" w:after="120"/>
        <w:jc w:val="end"/>
        <w:rPr>
          <w:spacing w:val="110"/>
          <w:sz w:val="22"/>
        </w:rPr>
      </w:pPr>
      <w:r>
        <w:rPr>
          <w:spacing w:val="110"/>
          <w:sz w:val="22"/>
        </w:rPr>
        <w:t>PRIVILEGED &amp; CONFIDENTIAL</w:t>
        <w:br/>
        <w:t>ATTORNEY WORK PRODUCT</w:t>
      </w:r>
    </w:p>
    <w:p>
      <w:pPr>
        <w:pStyle w:val="Normal"/>
        <w:spacing w:before="600" w:after="120"/>
        <w:jc w:val="center"/>
        <w:rPr>
          <w:spacing w:val="110"/>
          <w:sz w:val="36"/>
          <w:u w:val="single"/>
        </w:rPr>
      </w:pPr>
      <w:r>
        <w:rPr>
          <w:spacing w:val="110"/>
          <w:sz w:val="36"/>
          <w:u w:val="single"/>
        </w:rPr>
        <w:t>MEMORANDUM</w:t>
      </w:r>
    </w:p>
    <w:tbl>
      <w:tblPr>
        <w:tblW w:w="9576" w:type="dxa"/>
        <w:jc w:val="start"/>
        <w:tblInd w:w="0" w:type="dxa"/>
        <w:tblLayout w:type="fixed"/>
        <w:tblCellMar>
          <w:top w:w="0" w:type="dxa"/>
          <w:start w:w="108" w:type="dxa"/>
          <w:bottom w:w="0" w:type="dxa"/>
          <w:end w:w="108" w:type="dxa"/>
        </w:tblCellMar>
      </w:tblPr>
      <w:tblGrid>
        <w:gridCol w:w="1440"/>
        <w:gridCol w:w="8136"/>
      </w:tblGrid>
      <w:tr>
        <w:trPr/>
        <w:tc>
          <w:tcPr>
            <w:tcW w:w="1440" w:type="dxa"/>
            <w:tcBorders/>
          </w:tcPr>
          <w:p>
            <w:pPr>
              <w:pStyle w:val="Normal"/>
              <w:spacing w:before="240" w:after="0"/>
              <w:ind w:end="144"/>
              <w:jc w:val="end"/>
              <w:rPr>
                <w:b/>
              </w:rPr>
            </w:pPr>
            <w:bookmarkStart w:id="0" w:name="ToField"/>
            <w:bookmarkEnd w:id="0"/>
            <w:r>
              <w:rPr>
                <w:b/>
              </w:rPr>
              <w:t>To:</w:t>
            </w:r>
          </w:p>
        </w:tc>
        <w:tc>
          <w:tcPr>
            <w:tcW w:w="8136" w:type="dxa"/>
            <w:tcBorders/>
          </w:tcPr>
          <w:p>
            <w:pPr>
              <w:pStyle w:val="Normal"/>
              <w:spacing w:before="240" w:after="0"/>
              <w:ind w:start="144" w:end="0"/>
              <w:rPr>
                <w:lang w:val="en-CA" w:eastAsia="en-CA"/>
              </w:rPr>
            </w:pPr>
            <w:bookmarkStart w:id="1" w:name="ToField2"/>
            <w:bookmarkStart w:id="2" w:name="ToField1"/>
            <w:bookmarkEnd w:id="1"/>
            <w:bookmarkEnd w:id="2"/>
            <w:r>
              <w:rPr>
                <w:lang w:val="en-CA" w:eastAsia="en-CA"/>
              </w:rPr>
              <w:t>Enron North America Corp.</w:t>
            </w:r>
          </w:p>
        </w:tc>
      </w:tr>
      <w:tr>
        <w:trPr/>
        <w:tc>
          <w:tcPr>
            <w:tcW w:w="1440" w:type="dxa"/>
            <w:tcBorders/>
          </w:tcPr>
          <w:p>
            <w:pPr>
              <w:pStyle w:val="Normal"/>
              <w:spacing w:before="240" w:after="0"/>
              <w:ind w:end="144"/>
              <w:jc w:val="end"/>
              <w:rPr>
                <w:b/>
              </w:rPr>
            </w:pPr>
            <w:r>
              <w:rPr>
                <w:b/>
              </w:rPr>
              <w:t>From:</w:t>
            </w:r>
          </w:p>
        </w:tc>
        <w:tc>
          <w:tcPr>
            <w:tcW w:w="8136" w:type="dxa"/>
            <w:tcBorders/>
          </w:tcPr>
          <w:p>
            <w:pPr>
              <w:pStyle w:val="Normal"/>
              <w:spacing w:before="240" w:after="0"/>
              <w:ind w:start="144" w:end="0"/>
              <w:rPr>
                <w:lang w:val="en-CA" w:eastAsia="en-CA"/>
              </w:rPr>
            </w:pPr>
            <w:bookmarkStart w:id="3" w:name="FromSender"/>
            <w:bookmarkEnd w:id="3"/>
            <w:r>
              <w:rPr>
                <w:lang w:val="en-CA" w:eastAsia="en-CA"/>
              </w:rPr>
              <w:t>Cadwalader, Wickersham &amp; Taft</w:t>
            </w:r>
          </w:p>
        </w:tc>
      </w:tr>
      <w:tr>
        <w:trPr/>
        <w:tc>
          <w:tcPr>
            <w:tcW w:w="1440" w:type="dxa"/>
            <w:tcBorders/>
          </w:tcPr>
          <w:p>
            <w:pPr>
              <w:pStyle w:val="Normal"/>
              <w:spacing w:before="240" w:after="0"/>
              <w:ind w:end="144"/>
              <w:jc w:val="end"/>
              <w:rPr>
                <w:b/>
              </w:rPr>
            </w:pPr>
            <w:bookmarkStart w:id="4" w:name="RefRow"/>
            <w:bookmarkEnd w:id="4"/>
            <w:r>
              <w:rPr>
                <w:b/>
              </w:rPr>
              <w:t>Re:</w:t>
            </w:r>
          </w:p>
        </w:tc>
        <w:tc>
          <w:tcPr>
            <w:tcW w:w="8136" w:type="dxa"/>
            <w:tcBorders/>
          </w:tcPr>
          <w:p>
            <w:pPr>
              <w:pStyle w:val="Normal"/>
              <w:tabs>
                <w:tab w:val="clear" w:pos="720"/>
                <w:tab w:val="left" w:pos="7200" w:leader="none"/>
              </w:tabs>
              <w:spacing w:before="240" w:after="0"/>
              <w:ind w:start="144" w:end="720"/>
              <w:jc w:val="both"/>
              <w:rPr>
                <w:u w:val="single"/>
              </w:rPr>
            </w:pPr>
            <w:bookmarkStart w:id="5" w:name="Reference"/>
            <w:bookmarkEnd w:id="5"/>
            <w:r>
              <w:rPr>
                <w:u w:val="single"/>
              </w:rPr>
              <w:t>Bandwidth Forward and Options Transactions</w:t>
            </w:r>
          </w:p>
        </w:tc>
      </w:tr>
      <w:tr>
        <w:trPr/>
        <w:tc>
          <w:tcPr>
            <w:tcW w:w="1440" w:type="dxa"/>
            <w:tcBorders>
              <w:bottom w:val="double" w:sz="6" w:space="0" w:color="000000"/>
            </w:tcBorders>
          </w:tcPr>
          <w:p>
            <w:pPr>
              <w:pStyle w:val="Normal"/>
              <w:spacing w:before="240" w:after="240"/>
              <w:ind w:end="144"/>
              <w:jc w:val="end"/>
              <w:rPr>
                <w:b/>
              </w:rPr>
            </w:pPr>
            <w:r>
              <w:rPr>
                <w:b/>
              </w:rPr>
              <w:t>Date:</w:t>
            </w:r>
          </w:p>
        </w:tc>
        <w:tc>
          <w:tcPr>
            <w:tcW w:w="8136" w:type="dxa"/>
            <w:tcBorders>
              <w:bottom w:val="double" w:sz="6" w:space="0" w:color="000000"/>
            </w:tcBorders>
          </w:tcPr>
          <w:p>
            <w:pPr>
              <w:pStyle w:val="Normal"/>
              <w:spacing w:before="240" w:after="240"/>
              <w:ind w:start="144" w:end="0"/>
              <w:rPr/>
            </w:pPr>
            <w:bookmarkStart w:id="6" w:name="Date"/>
            <w:bookmarkEnd w:id="6"/>
            <w:r>
              <w:rPr/>
              <w:t>October 20, 1999</w:t>
            </w:r>
          </w:p>
        </w:tc>
      </w:tr>
      <w:tr>
        <w:trPr/>
        <w:tc>
          <w:tcPr>
            <w:tcW w:w="1440" w:type="dxa"/>
            <w:tcBorders/>
          </w:tcPr>
          <w:p>
            <w:pPr>
              <w:pStyle w:val="Normal"/>
              <w:snapToGrid w:val="false"/>
              <w:ind w:end="144"/>
              <w:jc w:val="end"/>
              <w:rPr>
                <w:b/>
              </w:rPr>
            </w:pPr>
            <w:r>
              <w:rPr>
                <w:b/>
              </w:rPr>
            </w:r>
          </w:p>
        </w:tc>
        <w:tc>
          <w:tcPr>
            <w:tcW w:w="8136" w:type="dxa"/>
            <w:tcBorders/>
          </w:tcPr>
          <w:p>
            <w:pPr>
              <w:pStyle w:val="Normal"/>
              <w:snapToGrid w:val="false"/>
              <w:ind w:start="144" w:end="0"/>
              <w:rPr>
                <w:b/>
              </w:rPr>
            </w:pPr>
            <w:r>
              <w:rPr>
                <w:b/>
              </w:rPr>
            </w:r>
          </w:p>
        </w:tc>
      </w:tr>
    </w:tbl>
    <w:p>
      <w:pPr>
        <w:pStyle w:val="BodyMain"/>
        <w:rPr/>
      </w:pPr>
      <w:bookmarkStart w:id="7" w:name="Start"/>
      <w:bookmarkEnd w:id="7"/>
      <w:r>
        <w:rPr/>
        <w:t xml:space="preserve">You have asked for our views regarding the status of proposed forward and options transactions for bandwidth under the Commodity Exchange Act, as amended (the “CEA”), 7 U.S.C. § 1 </w:t>
      </w:r>
      <w:r>
        <w:rPr>
          <w:u w:val="single"/>
        </w:rPr>
        <w:t>et</w:t>
      </w:r>
      <w:r>
        <w:rPr/>
        <w:t xml:space="preserve"> </w:t>
      </w:r>
      <w:r>
        <w:rPr>
          <w:u w:val="single"/>
        </w:rPr>
        <w:t>seq</w:t>
      </w:r>
      <w:r>
        <w:rPr/>
        <w:t>. and Commodity Futures Trading Commission (“CFTC”) rules, regulations, or orders thereunder.  We have not addressed any other issues in this memorandum.  For ease of review, we have kept to a minimum citations to provisions of statutes, rules, regulations, and orders, and other authorities.</w:t>
      </w:r>
    </w:p>
    <w:p>
      <w:pPr>
        <w:pStyle w:val="BodyMain"/>
        <w:ind w:hanging="0" w:end="0"/>
        <w:rPr>
          <w:u w:val="single"/>
        </w:rPr>
      </w:pPr>
      <w:r>
        <w:rPr>
          <w:u w:val="single"/>
        </w:rPr>
        <w:t>CONCLUSION</w:t>
      </w:r>
    </w:p>
    <w:p>
      <w:pPr>
        <w:pStyle w:val="BodyMain"/>
        <w:rPr/>
      </w:pPr>
      <w:r>
        <w:rPr/>
        <w:t>Based upon the facts, assumptions, discussion, and analysis set forth herein, we conclude that (i) bandwidth forward transactions should be deemed to constitute forward contracts rather than futures contracts within the meaning of the CEA; and (ii) bandwidth options contracts should be deemed to constitute commodity options which may only be entered into pursuant to the trade option exemption in the CFTC’s rules.</w:t>
      </w:r>
    </w:p>
    <w:p>
      <w:pPr>
        <w:pStyle w:val="BodyMain"/>
        <w:keepNext w:val="true"/>
        <w:keepLines/>
        <w:ind w:hanging="0" w:end="0"/>
        <w:rPr>
          <w:u w:val="single"/>
        </w:rPr>
      </w:pPr>
      <w:r>
        <w:rPr>
          <w:u w:val="single"/>
        </w:rPr>
        <w:t>FACTS</w:t>
      </w:r>
    </w:p>
    <w:p>
      <w:pPr>
        <w:pStyle w:val="BodyMain"/>
        <w:rPr/>
      </w:pPr>
      <w:r>
        <w:rPr/>
        <w:t>Our understanding of the pertinent facts concerning the proposed bandwidth forward and options transactions is based upon our review of the written materials which you have furnished to us, as supplemented by telephone conversations between us.</w:t>
      </w:r>
    </w:p>
    <w:p>
      <w:pPr>
        <w:pStyle w:val="BodyMain"/>
        <w:rPr/>
      </w:pPr>
      <w:r>
        <w:rPr/>
        <w:t>Enron Communications, Inc. (“ECI”), an Enron Corp. affiliate, is proposing to establish an over-the-counter market for buying and selling bandwidth forward and options contracts.  Bandwidth is the range of frequencies, or the volume of data, that a transmission line may carry.  To facilitate trading in bandwidth forward and options contracts, ECI is proposing certain standard terms and conditions for all participants to use in trading, including several city pair benchmarks for bandwidth such as New York to Los Angeles, as well as standardized forms of master agreement to document these transactions.  Each forward contract will be a bilateral, principal-to-principal, privately-negotiated transaction that establishes binding obligations on the part of the purchaser to buy and accept and on the part of the seller to sell and deliver a specified bandwidth segment at a specified date in the future.  Similarly, each option contract will be a bilateral, principal-to-principal, privately-negotiated transaction that, upon exercise by the buyer, will be settled by physical delivery of a specified bandwidth segment upon specified terms and conditions.  These contracts will involve a substantial dollar amount and may not be assigned to any third party, absent counterparty consent.</w:t>
      </w:r>
    </w:p>
    <w:p>
      <w:pPr>
        <w:pStyle w:val="BodyMain"/>
        <w:rPr/>
      </w:pPr>
      <w:r>
        <w:rPr/>
        <w:t xml:space="preserve">Participation in these transactions will be limited to sophisticated commercial entities having the ability to make or take physical delivery of bandwidth, including international telecommunications companies who own the fiber optic cables that carry e-mail, video and telephone transmissions, and Internet service providers and Fortune 500 corporations who are large consumers of bandwidth.  However, certain participants who do not own telecommunications networks, including hedge funds or other collective investment vehicles, may lease or otherwise procure bandwidth pursuant to contractual arrangements with third parties for this purpose.  </w:t>
      </w:r>
    </w:p>
    <w:p>
      <w:pPr>
        <w:pStyle w:val="BodyMain"/>
        <w:rPr/>
      </w:pPr>
      <w:r>
        <w:rPr/>
        <w:t xml:space="preserve">In a typical transaction, a participant will contact a counterparty asking to buy a specified quantity of bandwidth for a specified time period.  The parties will negotiate the material terms of the transaction, including price, term to maturity, quantity, and delivery segment, and if an option, whether a put or call, exercise price and style, based upon their respective commercial needs and individualized counterparty credit risk assessment.  Once the parties have agreed to the terms of a transaction, they will confirm these terms through the exchange of a written confirmation.  Each transaction will be reported for recording and monitoring by the relevant Pooling Point Administrator (“PPA”), who will provide the parties with code numbers to enable them to track the quality of the service for physical delivery on a real-time basis.  </w:t>
      </w:r>
      <w:r>
        <w:rPr>
          <w:u w:val="single"/>
        </w:rPr>
        <w:t>See</w:t>
      </w:r>
      <w:r>
        <w:rPr/>
        <w:t xml:space="preserve"> discussion below.</w:t>
      </w:r>
    </w:p>
    <w:p>
      <w:pPr>
        <w:pStyle w:val="BodyMain"/>
        <w:rPr/>
      </w:pPr>
      <w:r>
        <w:rPr/>
        <w:t>ECI is proposing that all participants join in the formation of a new self-regulatory organization to be known as the Bandwidth Trading Organization (“BTO”).  A BTO Operating Agreement will establish initial market rules and a governance system that will be responsible for consensus-based administration of the bandwidth market.  The BTO will implement and administer rules designed to foster fair and competitive trading of bandwidth.  The BTO will enter into a contract with each Pooling Point Developer (“PPD”) who will install and operate equipment necessary for interconnection of bandwidth users at each pooling point.  The PPD will be responsible for, among other things, the physical maintenance and operation of the PPD Equipment at the relevant pooling point, installation of requisite software, availability of access for interconnection for market participants, the physical security of the PPD Equipment at the pooling point, and installation for the PPA of a remote monitoring facility.</w:t>
      </w:r>
    </w:p>
    <w:p>
      <w:pPr>
        <w:pStyle w:val="BodyMain"/>
        <w:rPr/>
      </w:pPr>
      <w:r>
        <w:rPr/>
        <w:t>The BTO will enter into a contract with an independent PPA who will, among other things, certify the software interconnection of market participants, use the system software to record and schedule individual trades of bandwidth, monitor and verify performance and delivery of each contract, verify compliance by the PPD with its obligations concerning a pooling point to the BTO, and declare when a pooling point force majeure event has occurred.  Thus, the PPA will have some responsibility for administration of the market, including systems updates.</w:t>
      </w:r>
    </w:p>
    <w:p>
      <w:pPr>
        <w:pStyle w:val="BodyMain"/>
        <w:rPr/>
      </w:pPr>
      <w:r>
        <w:rPr/>
        <w:t>You have indicated that this market will not have any type of order matching, execution, or clearing facilities through which bandwidth forward or options transactions will be effected.  In this regard, the BTO (whether directly or through its agents) will not mark open positions to market, establish collateral or margin requirements, or arrange for other forms of credit support for these transactions.  Nor will bid or offer quotations for such transactions be reported or displayed on any type of electronic bulletin board or otherwise disseminated by the BTO or any third party.</w:t>
      </w:r>
    </w:p>
    <w:p>
      <w:pPr>
        <w:pStyle w:val="BodyMain"/>
        <w:rPr/>
      </w:pPr>
      <w:r>
        <w:rPr/>
        <w:t>In the event of a default on a transaction, the non-defaulting party will have the right to recover liquidated damages (excluding consequential damages) from its counterparty in accordance with the terms of the master agreement.  The PPA will identify any deficiencies in bandwidth deliveries to the participants in the transaction and will be held to a prudent operator standard for this purpose.  The BTO will be liable to a market participant for direct or liquidated damages (excluding consequential damages), subject to the establishment of a materiality threshold, resulting from a failure by the PPD to maintain error-free transmission of data through the PPD Equipment, or from a failure by the PPA to maintain reliable monitoring and verification capabilities, but only to the extent that the BTO obtains insurance against such risks or has claims against third parties such as the PPD or PPA.  As previously stated, the PPA will verify compliance to the BTO of the PPD’s obligations to the BTO in respect of a Pooling Point.  The PPA also will attempt to resolve any disputes arising in connection with the PPD’s obligations on behalf of the BTO and/or its participants.</w:t>
      </w:r>
    </w:p>
    <w:p>
      <w:pPr>
        <w:pStyle w:val="BodyMain"/>
        <w:rPr/>
      </w:pPr>
      <w:r>
        <w:rPr/>
        <w:t>It is anticipated that most of the early trades will result in direct physical delivery, with the original buyer accepting the original bandwidth provided by the original seller.  However, as liquidity in the market develops, it is possible that a forward transaction will trigger a series of other transactions, with the transactions being settled by means of cancellation agreements or bookouts, rather than by physical delivery between the original buyer and seller.  Any such cancellation agreement will be an individual, separately-negotiated agreement that is subsequently entered into by the parties following the date of the initial transaction.</w:t>
      </w:r>
    </w:p>
    <w:p>
      <w:pPr>
        <w:pStyle w:val="BodyMain"/>
        <w:spacing w:before="360" w:after="0"/>
        <w:ind w:hanging="0" w:end="0"/>
        <w:rPr>
          <w:u w:val="single"/>
        </w:rPr>
      </w:pPr>
      <w:r>
        <w:rPr>
          <w:u w:val="single"/>
        </w:rPr>
        <w:t>DISCUSSION</w:t>
      </w:r>
    </w:p>
    <w:p>
      <w:pPr>
        <w:pStyle w:val="BodyMain"/>
        <w:spacing w:before="360" w:after="240"/>
        <w:ind w:hanging="0" w:end="0"/>
        <w:rPr>
          <w:u w:val="single"/>
        </w:rPr>
      </w:pPr>
      <w:r>
        <w:rPr>
          <w:u w:val="single"/>
        </w:rPr>
        <w:t>Forward Contracts</w:t>
      </w:r>
    </w:p>
    <w:p>
      <w:pPr>
        <w:pStyle w:val="BodyMain"/>
        <w:rPr/>
      </w:pPr>
      <w:r>
        <w:rPr/>
        <w:t>Section 4(a) of the CEA generally confines trading of futures contracts in the United States to transactions conducted on or subject to the rules of formally-organized exchanges which have been designated by the CFTC as contract markets.  While the CEA and the CFTC’s regulations do not define the term “contract of sale for future delivery,” the CFTC and the courts have identified certain of its essential characteristics.  A futures contract has been described as a contract for the purchase or sale of a commodity which is: (i) for future delivery at a price that is established when the contract is initiated; (ii) directly or indirectly offered to the general public; (iii) entered into primarily for the purpose of assuming or shifting price risk without transferring ownership of the underlying commodity; and (iv) typically satisfied through offsetting transactions or other buy-back arrangements prior to the date on which delivery is called for and acceptance of a cash payment representing the difference in price between the initial and offsetting transactions.</w:t>
      </w:r>
      <w:r>
        <w:rPr>
          <w:rStyle w:val="FootnoteCharacters"/>
          <w:rStyle w:val="FootnoteReference"/>
        </w:rPr>
        <w:footnoteReference w:id="2"/>
      </w:r>
      <w:r>
        <w:rPr/>
        <w:t xml:space="preserve"> </w:t>
      </w:r>
    </w:p>
    <w:p>
      <w:pPr>
        <w:pStyle w:val="BodyMain"/>
        <w:rPr/>
      </w:pPr>
      <w:r>
        <w:rPr/>
        <w:t xml:space="preserve">The courts and the CFTC also have identified certain characteristics which facilitate the trading of futures contracts on exchanges, including standardized terms, margin requirements related to price movements, clearing organizations which match trades and guarantee counterparty performance, open and competitive trading in centralized markets, and public price dissemination.  </w:t>
      </w:r>
      <w:r>
        <w:rPr>
          <w:u w:val="single"/>
        </w:rPr>
        <w:t>See</w:t>
      </w:r>
      <w:r>
        <w:rPr/>
        <w:t xml:space="preserve">, </w:t>
      </w:r>
      <w:r>
        <w:rPr>
          <w:u w:val="single"/>
        </w:rPr>
        <w:t>e.g.,</w:t>
      </w:r>
      <w:r>
        <w:rPr/>
        <w:t xml:space="preserve"> </w:t>
      </w:r>
      <w:r>
        <w:rPr>
          <w:u w:val="single"/>
        </w:rPr>
        <w:t>In re Stovall</w:t>
      </w:r>
      <w:r>
        <w:rPr/>
        <w:t xml:space="preserve">, [1977-1980 Transfer Binder], Comm. Fut. L. Rep. (CCH) ¶ 20,941 (December 6, 1979).  However, there is no exhaustive list of factors, and no particular factor is dispositive of a determination.  </w:t>
      </w:r>
      <w:r>
        <w:rPr>
          <w:u w:val="single"/>
        </w:rPr>
        <w:t>Id</w:t>
      </w:r>
      <w:r>
        <w:rPr/>
        <w:t xml:space="preserve">.  In assessing whether an off-exchange transaction is a futures contract, the courts and the CFTC view the transaction “as a whole with a critical eye towards its underlying purpose.”  </w:t>
      </w:r>
      <w:r>
        <w:rPr>
          <w:u w:val="single"/>
        </w:rPr>
        <w:t>CFTC v. Co Petro Marketing Group, Inc.</w:t>
      </w:r>
      <w:r>
        <w:rPr/>
        <w:t>, 680 F.2d 573, 581 (9</w:t>
      </w:r>
      <w:r>
        <w:rPr>
          <w:vertAlign w:val="superscript"/>
        </w:rPr>
        <w:t>th</w:t>
      </w:r>
      <w:r>
        <w:rPr/>
        <w:t xml:space="preserve"> Cir. 1982).  “The main purpose realized by entering into futures transactions is to transfer price risks from suppliers, processors and distributors (hedgers) to those more willing to take the risk (speculators).”  </w:t>
      </w:r>
      <w:r>
        <w:rPr>
          <w:u w:val="single"/>
        </w:rPr>
        <w:t>Salomon Forex, Inc. v. Tauber</w:t>
      </w:r>
      <w:r>
        <w:rPr/>
        <w:t>, 8 F.3d 966, 971 (4</w:t>
      </w:r>
      <w:r>
        <w:rPr>
          <w:vertAlign w:val="superscript"/>
        </w:rPr>
        <w:t>th</w:t>
      </w:r>
      <w:r>
        <w:rPr/>
        <w:t xml:space="preserve"> Cir. 1993).  Thus, where market participants lack the capability to take delivery, courts may infer that the underlying purpose is not to transfer title to the underlying commodity, but rather to shift price risk.  </w:t>
      </w:r>
      <w:r>
        <w:rPr>
          <w:u w:val="single"/>
        </w:rPr>
        <w:t>NRT Metals, Inc. v. Manhattan Metals (Non-Ferrous)</w:t>
      </w:r>
      <w:r>
        <w:rPr/>
        <w:t xml:space="preserve">, 576 F. Supp. 1046 (S.D.N.Y. 1983).  Similarly, if there is an expectation that physical delivery will not occur and that contractual obligations may be discharged through exchange-style offset or similar means, the elements of a futures contract are likely to be present.  </w:t>
      </w:r>
      <w:r>
        <w:rPr>
          <w:u w:val="single"/>
        </w:rPr>
        <w:t>CFTC v. Noble Metals International</w:t>
      </w:r>
      <w:r>
        <w:rPr/>
        <w:t xml:space="preserve">, 67 F.3d at 772 (citing </w:t>
      </w:r>
      <w:r>
        <w:rPr>
          <w:u w:val="single"/>
        </w:rPr>
        <w:t>CFTC v. Co Petro Mktg. Group, Inc.</w:t>
      </w:r>
      <w:r>
        <w:rPr/>
        <w:t>, 680 F.2d at 579-80).</w:t>
      </w:r>
    </w:p>
    <w:p>
      <w:pPr>
        <w:pStyle w:val="BodyMain"/>
        <w:rPr/>
      </w:pPr>
      <w:r>
        <w:rPr/>
        <w:t>By contrast, a forward contract is a negotiated off-exchange contract which is not subject to the exchange trading requirement pursuant to Section 1a(11) of the CEA (“[t]he term ‘future delivery’ does not include any sale of any cash commodity for deferred shipment or delivery…”).  The CFTC has described a forward contract as “a binding agreement on both parties to the contract [in which] one must agree to make delivery and the other to take delivery of the commodity” and where delivery generally occurs.</w:t>
      </w:r>
      <w:r>
        <w:rPr>
          <w:rStyle w:val="FootnoteCharacters"/>
          <w:rStyle w:val="FootnoteReference"/>
        </w:rPr>
        <w:footnoteReference w:id="3"/>
      </w:r>
      <w:r>
        <w:rPr/>
        <w:t xml:space="preserve">  It is critical that the parties contemplate delivery of the underlying commodity at a specified date in the future.  For this purpose, the CFTC historically focused on whether physical delivery routinely occurs.  As a result, the CFTC and the courts held that the forward contract exclusion is “unavailable to contracts which [were] sold merely for speculative purposes and which [were] not predicated upon the expectation that delivery of the actual commodity by the seller to the original contracting buyer [would] occur in the future.”  </w:t>
      </w:r>
      <w:r>
        <w:rPr>
          <w:u w:val="single"/>
        </w:rPr>
        <w:t>Co Petro</w:t>
      </w:r>
      <w:r>
        <w:rPr/>
        <w:t>, 680 F.2d at 578.</w:t>
      </w:r>
    </w:p>
    <w:p>
      <w:pPr>
        <w:pStyle w:val="BodyMain"/>
        <w:rPr/>
      </w:pPr>
      <w:r>
        <w:rPr/>
        <w:t xml:space="preserve">More recently, the CFTC has shifted its focus from the routine occurrence of delivery to whether the transaction creates a legally enforceable right to make or take delivery.  In 1990, the CFTC issued its </w:t>
      </w:r>
      <w:r>
        <w:rPr>
          <w:u w:val="single"/>
        </w:rPr>
        <w:t>Statutory Interpretation Concerning Forward Transactions</w:t>
      </w:r>
      <w:r>
        <w:rPr/>
        <w:t xml:space="preserve">, 55 Fed. Reg. 39,188 (September 25, 1990) (the “Statutory Interpretation”), which concludes that transactions entered into between commercial parties in normal commercial channels constitute forward contracts where binding delivery rights and obligations arise from the original contract even where, in a separate and subsequent new agreement which either party may decline to enter into, settlement in cash occurs in lieu of physical delivery.  The CFTC issued the Statutory Interpretation in response to the decision in </w:t>
      </w:r>
      <w:r>
        <w:rPr>
          <w:u w:val="single"/>
        </w:rPr>
        <w:t>Transnor (Bermuda) Ltd. v. BP North America Petroleum</w:t>
      </w:r>
      <w:r>
        <w:rPr/>
        <w:t>, 738 F. Supp. 1472 (S.D.N.Y. 1990), which held that the low ratio of actual to negotiated deliveries in the “15-day Brent market” indicated that the underlying purpose of the transactions was speculation rather than sale and delivery.  On that basis the court held that the transactions at issue did not qualify as forward contracts.</w:t>
      </w:r>
    </w:p>
    <w:p>
      <w:pPr>
        <w:pStyle w:val="BodyMain"/>
        <w:rPr/>
      </w:pPr>
      <w:r>
        <w:rPr/>
        <w:t>In the Statutory Interpretation, the CFTC recognized the evolution of commercial practice in the forward markets and that commercial entities today enter into forward transactions which serve the same function as traditional forward contracts, but in which cash payment may constitute ultimate performance.  The CFTC noted that while such agreements may extinguish a party’s delivery obligation, they are separate, individually-negotiated, new agreements, which are voluntarily entered into between the parties.  Moreover, these agreements are not provided for by the terms of the contracts as initially entered into, and any party is entitled to require delivery of the commodity to be made through it, as required under the contracts.  55 Fed. Reg. at 39,191.</w:t>
      </w:r>
    </w:p>
    <w:p>
      <w:pPr>
        <w:pStyle w:val="BodyMain"/>
        <w:rPr/>
      </w:pPr>
      <w:r>
        <w:rPr/>
        <w:t xml:space="preserve">We have located several subsequent judicial decisions which provide some interpretative gloss on the Statutory Interpretation in the context of the particular circumstances involved.  For example, in </w:t>
      </w:r>
      <w:r>
        <w:rPr>
          <w:u w:val="single"/>
        </w:rPr>
        <w:t>In re Bybee</w:t>
      </w:r>
      <w:r>
        <w:rPr/>
        <w:t>, 945 F.2d 309 (9</w:t>
      </w:r>
      <w:r>
        <w:rPr>
          <w:vertAlign w:val="superscript"/>
        </w:rPr>
        <w:t>th</w:t>
      </w:r>
      <w:r>
        <w:rPr/>
        <w:t xml:space="preserve"> Cir. 1991), the Ninth Circuit held that certain bullion transactions which were settled by payment in cash rather than by physical delivery constituted forward contracts because the parties had a legal obligation to make or take delivery upon demand of the other, consistent with the position taken by the CFTC in the Statutory Interpretation.  While routine physical delivery under a transaction is not an absolute precondition for the forward contract exclusion to be applicable under the Statutory Interpretation, purported forward transactions continue to be examined as a whole with a critical eye toward the underlying purpose.  </w:t>
      </w:r>
      <w:r>
        <w:rPr>
          <w:u w:val="single"/>
        </w:rPr>
        <w:t>See</w:t>
      </w:r>
      <w:r>
        <w:rPr/>
        <w:t xml:space="preserve">, </w:t>
      </w:r>
      <w:r>
        <w:rPr>
          <w:u w:val="single"/>
        </w:rPr>
        <w:t>e.g.</w:t>
      </w:r>
      <w:r>
        <w:rPr/>
        <w:t xml:space="preserve">, </w:t>
      </w:r>
      <w:r>
        <w:rPr>
          <w:u w:val="single"/>
        </w:rPr>
        <w:t>In re Grain Land Coop.</w:t>
      </w:r>
      <w:r>
        <w:rPr/>
        <w:t>, CFTC Docket No. 97-1, 1998 CFTC LEXIS 270 (November 6, 1998) (where hedge-to-arrive contracts permitted grain producers to avoid delivery for any reason by canceling the contract, the Administrative Law Judge rejected the contention that the cancellation provision was a liquidated damages clause and concluded that, when viewed as a whole, the contracts served substantially the same function as futures contracts by providing participants with an opportunity to assume or shift the risk of price changes in the underlying commodity without the forced burden of delivery).</w:t>
      </w:r>
    </w:p>
    <w:p>
      <w:pPr>
        <w:pStyle w:val="BodyMain"/>
        <w:rPr/>
      </w:pPr>
      <w:r>
        <w:rPr/>
        <w:t xml:space="preserve">Similarly, in </w:t>
      </w:r>
      <w:r>
        <w:rPr>
          <w:u w:val="single"/>
        </w:rPr>
        <w:t>CFTC v. Noble Metals Int’l, Inc.</w:t>
      </w:r>
      <w:r>
        <w:rPr/>
        <w:t>, 67 F.3d 766 (9</w:t>
      </w:r>
      <w:r>
        <w:rPr>
          <w:vertAlign w:val="superscript"/>
        </w:rPr>
        <w:t>th</w:t>
      </w:r>
      <w:r>
        <w:rPr/>
        <w:t xml:space="preserve"> Cir. 1995), the Ninth Circuit underscored the significance of a subjective intent to deliver on the part of the contracting parties.  The court characterized the cash forward exclusion as a “narrow” one predicated on both parties to the contract contemplating and intending delivery of the actual commodity to occur on a deferred date because immediate delivery would be commercially impracticable or inconvenient.  The court explained that Noble Metals’ customers would contract with a third party to receive and then sell back to Noble Metals the precious metal underlying the contract.  In rejecting Noble Metals’ claim that these contracts constituted forward contracts, the court held that the delivery requirement is not satisfied by the “simple device of transfer of title.”  As there was no legitimate expectation that customers would take actual delivery, the court held that the forward contract exclusion was not available and that the contracts at issue were futures contracts.  </w:t>
      </w:r>
      <w:r>
        <w:rPr>
          <w:u w:val="single"/>
        </w:rPr>
        <w:t>See also</w:t>
      </w:r>
      <w:r>
        <w:rPr/>
        <w:t xml:space="preserve"> </w:t>
      </w:r>
      <w:r>
        <w:rPr>
          <w:u w:val="single"/>
        </w:rPr>
        <w:t>The Andersons, Inc. v. Horton Farms, Inc.</w:t>
      </w:r>
      <w:r>
        <w:rPr/>
        <w:t>, 1998 U.S. App. LEXIS 31484 (6</w:t>
      </w:r>
      <w:r>
        <w:rPr>
          <w:vertAlign w:val="superscript"/>
        </w:rPr>
        <w:t>th</w:t>
      </w:r>
      <w:r>
        <w:rPr/>
        <w:t xml:space="preserve"> Cir. 1998) (“[T]he ultimate focus is on whether the contracts in question contemplated actual physical delivery of the commodity.”)</w:t>
      </w:r>
    </w:p>
    <w:p>
      <w:pPr>
        <w:pStyle w:val="BodyMain"/>
        <w:keepNext w:val="true"/>
        <w:keepLines/>
        <w:ind w:hanging="0" w:end="0"/>
        <w:rPr>
          <w:u w:val="single"/>
        </w:rPr>
      </w:pPr>
      <w:r>
        <w:rPr>
          <w:u w:val="single"/>
        </w:rPr>
        <w:t>Over-the-Counter Options Contracts</w:t>
      </w:r>
    </w:p>
    <w:p>
      <w:pPr>
        <w:pStyle w:val="BodyMain"/>
        <w:rPr/>
      </w:pPr>
      <w:r>
        <w:rPr/>
        <w:t>Section 4c(b) of the CEA provides that over-the-counter commodity options transactions may be entered into only in compliance with applicable CFTC rules and regulations.  These provisions generally restrict the offer and sale of over-the-counter commodity options, subject to an exemption in Rule 32.4(a) for so-called trade options.  To qualify under the exemption, the offeror of the option must have a reasonable basis to believe that (i) the option is offered to a producer, processor, or commercial user of, or a merchant handling, the underlying commodity and (ii) the offeree is entering into the option solely for purposes related to its business as such.  In order to have a “reasonable basis” to believe that an offeree qualifies under the exemption, the offeror typically will obtain a written representation from the offeree.  If an option transaction qualifies under Rule 32.4(a), the transaction is not subject to regulation under the CEA or the rules or regulations thereunder, except for antifraud provisions.</w:t>
      </w:r>
    </w:p>
    <w:p>
      <w:pPr>
        <w:pStyle w:val="BodyMain"/>
        <w:rPr/>
      </w:pPr>
      <w:r>
        <w:rPr/>
        <w:t xml:space="preserve">In general, the CFTC and its staff have interpreted the trade option exemption quite narrowly, taking the view that transactions qualify under the exemption only if they bear some direct, “non-speculative” relationship to the offeree’s transactions in the underlying commodity.  </w:t>
      </w:r>
      <w:r>
        <w:rPr>
          <w:u w:val="single"/>
        </w:rPr>
        <w:t>See</w:t>
      </w:r>
      <w:r>
        <w:rPr/>
        <w:t xml:space="preserve">, </w:t>
      </w:r>
      <w:r>
        <w:rPr>
          <w:u w:val="single"/>
        </w:rPr>
        <w:t>e.g.</w:t>
      </w:r>
      <w:r>
        <w:rPr/>
        <w:t xml:space="preserve">, CFTC Interpretative Letter No. 84-7 (February 22, 1984), </w:t>
      </w:r>
      <w:r>
        <w:rPr>
          <w:u w:val="single"/>
        </w:rPr>
        <w:t>reprinted</w:t>
      </w:r>
      <w:r>
        <w:rPr/>
        <w:t xml:space="preserve"> </w:t>
      </w:r>
      <w:r>
        <w:rPr>
          <w:u w:val="single"/>
        </w:rPr>
        <w:t>in</w:t>
      </w:r>
      <w:r>
        <w:rPr/>
        <w:t xml:space="preserve"> Comm. Fut. L. Rep. (CCH) ¶ 22,025.  The staff has advised that “non-speculative” transactions include, but are not limited to, bona fide hedging transactions as defined in the CFTC’s rules.  The CFTC staff also has indicated that reliance on a written representation from the offeree may not suffice in which case an option offeror may need to take further steps to assure that the offeree qualifies as a commercial party if it is not otherwise clear to the offeror that the option offeree and the purported use of the option by the offeree qualify under the exemption.  </w:t>
      </w:r>
      <w:r>
        <w:rPr>
          <w:u w:val="single"/>
        </w:rPr>
        <w:t>Id</w:t>
      </w:r>
      <w:r>
        <w:rPr/>
        <w:t>.</w:t>
      </w:r>
    </w:p>
    <w:p>
      <w:pPr>
        <w:pStyle w:val="BodyMain"/>
        <w:rPr>
          <w:b/>
        </w:rPr>
      </w:pPr>
      <w:r>
        <w:rPr/>
        <w:t xml:space="preserve">However, the CFTC staff has concluded that an over-the-counter commodity option entered into between a bank and a qualifying commercial firm pursuant to a master agreement initially offered by the bank to the commercial firm would constitute a trade option within the scope of Rule 32.4(a), irrespective of which party to such a master agreement initiated entry into the particular options thereunder.  </w:t>
      </w:r>
      <w:r>
        <w:rPr>
          <w:u w:val="single"/>
        </w:rPr>
        <w:t>See</w:t>
      </w:r>
      <w:r>
        <w:rPr/>
        <w:t xml:space="preserve"> CFTC Interpretative Letter No. 90-3 (March 27, 1990), </w:t>
      </w:r>
      <w:r>
        <w:rPr>
          <w:u w:val="single"/>
        </w:rPr>
        <w:t>reprinted</w:t>
      </w:r>
      <w:r>
        <w:rPr/>
        <w:t xml:space="preserve"> </w:t>
      </w:r>
      <w:r>
        <w:rPr>
          <w:u w:val="single"/>
        </w:rPr>
        <w:t>in</w:t>
      </w:r>
      <w:r>
        <w:rPr/>
        <w:t xml:space="preserve"> Comm. Fut. L. Rep. (CCH) ¶ 24,807.</w:t>
      </w:r>
      <w:r>
        <w:rPr>
          <w:rStyle w:val="FootnoteCharacters"/>
          <w:rStyle w:val="FootnoteReference"/>
        </w:rPr>
        <w:footnoteReference w:id="4"/>
      </w:r>
    </w:p>
    <w:p>
      <w:pPr>
        <w:pStyle w:val="BodyMain"/>
        <w:keepNext w:val="true"/>
        <w:keepLines/>
        <w:ind w:hanging="0" w:end="0"/>
        <w:rPr>
          <w:u w:val="single"/>
        </w:rPr>
      </w:pPr>
      <w:r>
        <w:rPr>
          <w:u w:val="single"/>
        </w:rPr>
        <w:t>ANALYSIS</w:t>
      </w:r>
    </w:p>
    <w:p>
      <w:pPr>
        <w:pStyle w:val="BodyMain"/>
        <w:ind w:hanging="0" w:end="0"/>
        <w:rPr>
          <w:u w:val="single"/>
        </w:rPr>
      </w:pPr>
      <w:r>
        <w:rPr>
          <w:u w:val="single"/>
        </w:rPr>
        <w:t>Forward Contracts</w:t>
      </w:r>
    </w:p>
    <w:p>
      <w:pPr>
        <w:pStyle w:val="BodyMain"/>
        <w:rPr/>
      </w:pPr>
      <w:r>
        <w:rPr/>
        <w:t>You have indicated that the proposed forward contracts will be privately-negotiated between qualified commercial entities such as telecommunications companies and Fortune 500 corporations in conjunction with their businesses based upon individualized counterparty credit risk assessment.  Any such entity has the capacity to make or take delivery and will be entitled to require delivery to occur under the terms of these contracts.  While actual delivery ultimately may occur only in a small number of instances as the market becomes more liquid, pursuant to separate, individually negotiated cancellation agreements, the parties will not know which transactions will be booked out rather than settled by actual delivery at the time of contracting.</w:t>
      </w:r>
    </w:p>
    <w:p>
      <w:pPr>
        <w:pStyle w:val="BodyMain"/>
        <w:rPr/>
      </w:pPr>
      <w:r>
        <w:rPr/>
        <w:t>In concluding that 15 day Brent contracts qualify as forward contracts, the CFTC noted in the Statutory Interpretation that these contracts contain no right of offset, do not rely on a variation margining and settlement system, and do not permit assignment of contractual obligations without counterparty consent.  Instead, offsets result from separate, individually negotiated, new agreements, there is no obligation or arrangement to enter into such agreements, and they are not provided for by the terms of the contracts as initially entered into.  Thus, the CFTC held that when contracts of sale for future delivery entered into between commercial entities having the capacity to make or take delivery give neither party a right to cash out, but are cash settled subsequently pursuant to independently negotiated agreements, the absence of physical delivery by itself does not obviate the applicability of the forward contract exclusion.  However, as noted, certain courts have continued to focus on whether there is a legitimate expectation that physical delivery of the actual commodity by the seller to the original contracting buyer will occur in the future.</w:t>
      </w:r>
    </w:p>
    <w:p>
      <w:pPr>
        <w:pStyle w:val="BodyMain"/>
        <w:rPr/>
      </w:pPr>
      <w:r>
        <w:rPr/>
        <w:t>As they have been described to us, we believe that these transactions should qualify as forward contracts in accordance with the CFTC’s Statutory Interpretation.  It appears to us that the bookout procedures which may be used in connection with these transactions are analogous to those used with the 15-day Brent contracts which were held to be forward contracts by the CFTC in the Statutory Interpretation.  As in the circumstances presented here, the CFTC concluded that privately negotiated transactions between commercial parties in connection with a line of business fit within the forward contract exclusion even if the parties to the transactions may ultimately forego delivery through the payment of differences in accordance with a cancellation agreement referred to as a bookout.  This is in contrast to other situations involving contracts having cancellation provisions or an implicit representation by a seller that it will provide for offsetting transactions which the courts and the CFTC have deemed constitute futures contracts.  Since the transactions at issue here will not give either party a cancellation right and there is no representation by either party, whether expressed or implied, that any particular transaction will be settled by bookout, it cannot be said that the parties do not anticipate delivery from each other.  On this basis, consistent with the views expressed by the CFTC in the Statutory Interpretation, we believe that these transactions should be covered by the cash forward exclusion.</w:t>
      </w:r>
    </w:p>
    <w:p>
      <w:pPr>
        <w:pStyle w:val="BodyMain"/>
        <w:rPr/>
      </w:pPr>
      <w:r>
        <w:rPr/>
        <w:t xml:space="preserve">The courts can be expected to give substantial deference to the CFTC’s interpretation of the forward contract exclusion, in accordance with established principles of judicial deference to administrative agency determinations.  </w:t>
      </w:r>
      <w:r>
        <w:rPr>
          <w:u w:val="single"/>
        </w:rPr>
        <w:t>See</w:t>
      </w:r>
      <w:r>
        <w:rPr/>
        <w:t xml:space="preserve">, </w:t>
      </w:r>
      <w:r>
        <w:rPr>
          <w:u w:val="single"/>
        </w:rPr>
        <w:t>e.g.</w:t>
      </w:r>
      <w:r>
        <w:rPr/>
        <w:t xml:space="preserve">, </w:t>
      </w:r>
      <w:r>
        <w:rPr>
          <w:u w:val="single"/>
        </w:rPr>
        <w:t>CFTC v. P.I.E., Inc.</w:t>
      </w:r>
      <w:r>
        <w:rPr/>
        <w:t>, 853 F.2d 721, 724 (9th Cir. 1988). The CFTC’s views are not binding on a court, however.  A court therefore could adopt a different view, for example, by focusing on the low ratio of actual to negotiated deliveries in this market.</w:t>
      </w:r>
    </w:p>
    <w:p>
      <w:pPr>
        <w:pStyle w:val="BodyMain"/>
        <w:rPr/>
      </w:pPr>
      <w:r>
        <w:rPr/>
        <w:t>We caution that participation by entities such as a hedge fund or other collective investment vehicle who does not normally deal in and is not a large consumer of bandwidth and who leases or otherwise procures bandwidth pursuant to contractual arrangements with third parties solely for the purpose of engaging in these transactions may undercut the force of these arguments.  For example, a court could focus on the low ratio of actual to negotiated deliveries in the market, together with the participation of hedge funds who do not normally deal in or consume bandwidth in commercial quantities in conjunction with their businesses, to conclude that the forward contract exclusion is not available.  In contrast, a financial institution that as part of its commercial trading activities ordinarily deals in bandwidth or is a large consumer of bandwidth should be viewed as a commercial participant in this market.</w:t>
      </w:r>
      <w:r>
        <w:rPr>
          <w:rStyle w:val="FootnoteCharacters"/>
        </w:rPr>
        <w:t xml:space="preserve"> </w:t>
      </w:r>
      <w:r>
        <w:rPr>
          <w:rStyle w:val="FootnoteCharacters"/>
          <w:rStyle w:val="FootnoteReference"/>
        </w:rPr>
        <w:footnoteReference w:id="5"/>
      </w:r>
    </w:p>
    <w:p>
      <w:pPr>
        <w:pStyle w:val="BodyMain"/>
        <w:ind w:hanging="0" w:end="0"/>
        <w:rPr>
          <w:u w:val="single"/>
        </w:rPr>
      </w:pPr>
      <w:r>
        <w:rPr>
          <w:u w:val="single"/>
        </w:rPr>
        <w:t>Over-the-Counter Options Contracts</w:t>
      </w:r>
    </w:p>
    <w:p>
      <w:pPr>
        <w:pStyle w:val="BodyMain"/>
        <w:rPr/>
      </w:pPr>
      <w:r>
        <w:rPr/>
        <w:t>As we have explained, over-the-counter options contracts on bandwidth should be entered into in accordance with the trade option exemption, if the parties wish to be certain that they do not violate the CFTC’s restrictions on off-exchange trading of commodity options.  In this regard, we recommend that the Model Bandwidth General Terms and Conditions be amended to include an appropriate representation regarding compliance with the criteria of Rule 32.4(a).  We note that issues could arise as to whether a hedge fund or similar entity who does not normally deal in, and is not a commercial consumer of, bandwidth may reasonably be viewed as a “merchant handling” or a “commercial user” of bandwidth and thus whether an option which is offered to such a party may qualify as a trade option under the exemption.</w:t>
      </w:r>
    </w:p>
    <w:p>
      <w:pPr>
        <w:pStyle w:val="BodyMain"/>
        <w:keepNext w:val="true"/>
        <w:keepLines/>
        <w:jc w:val="start"/>
        <w:rPr/>
      </w:pPr>
      <w:r>
        <w:rPr/>
        <w:tab/>
        <w:tab/>
        <w:tab/>
        <w:t>*   *   *   *   *</w:t>
      </w:r>
    </w:p>
    <w:p>
      <w:pPr>
        <w:pStyle w:val="BodyMain"/>
        <w:rPr/>
      </w:pPr>
      <w:r>
        <w:rPr/>
        <w:t xml:space="preserve">Please direct any questions or requests for additional detail concerning this memorandum to David S. Mitchell at (212) 504-6285 or David Whiting at (212) 504-6789.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Bodoni BT">
    <w:altName w:val="Times New Roman"/>
    <w:charset w:val="00" w:characterSet="windows-1252"/>
    <w:family w:val="roman"/>
    <w:pitch w:val="variable"/>
  </w:font>
  <w:font w:name="Venetian301 Dm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"PCDOCS ID Short"</w:instrText>
    </w:r>
    <w:r>
      <w:rPr>
        <w:sz w:val="16"/>
      </w:rPr>
      <w:fldChar w:fldCharType="separate"/>
    </w:r>
    <w:r>
      <w:rPr>
        <w:sz w:val="16"/>
      </w:rPr>
      <w:t>412473.6</w:t>
    </w:r>
    <w:r>
      <w:rPr>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0"/>
        <w:jc w:val="both"/>
        <w:rPr/>
      </w:pPr>
      <w:r>
        <w:rPr>
          <w:rStyle w:val="FootnoteCharacters"/>
        </w:rPr>
        <w:footnoteRef/>
      </w:r>
      <w:r>
        <w:rPr/>
        <w:t xml:space="preserve"> </w:t>
      </w:r>
      <w:r>
        <w:rPr/>
        <w:t>For this purpose, the term “commodity” is defined expansively to include all goods and articles, and “all services, rights, and interests in which contracts for future delivery are presently or in the future dealt in.”  We have presumed that the bandwidth segment which is the subject of these transactions would be viewed to be a commodity under this definition.</w:t>
      </w:r>
    </w:p>
  </w:footnote>
  <w:footnote w:id="3">
    <w:p>
      <w:pPr>
        <w:pStyle w:val="FootnoteText"/>
        <w:spacing w:before="120" w:after="0"/>
        <w:jc w:val="both"/>
        <w:rPr/>
      </w:pPr>
      <w:r>
        <w:rPr>
          <w:rStyle w:val="FootnoteCharacters"/>
        </w:rPr>
        <w:footnoteRef/>
      </w:r>
      <w:r>
        <w:rPr/>
        <w:t xml:space="preserve"> </w:t>
      </w:r>
      <w:r>
        <w:rPr>
          <w:u w:val="single"/>
        </w:rPr>
        <w:t>See</w:t>
      </w:r>
      <w:r>
        <w:rPr/>
        <w:t xml:space="preserve"> </w:t>
      </w:r>
      <w:r>
        <w:rPr>
          <w:u w:val="single"/>
        </w:rPr>
        <w:t>Characteristics Distinguishing Cash and Forward Contracts and “Trade” Options,</w:t>
      </w:r>
      <w:r>
        <w:rPr/>
        <w:t xml:space="preserve"> 50 Fed. Reg. 39,656 (September 30, 1985).</w:t>
      </w:r>
    </w:p>
  </w:footnote>
  <w:footnote w:id="4">
    <w:p>
      <w:pPr>
        <w:pStyle w:val="FootnoteText"/>
        <w:spacing w:before="120" w:after="0"/>
        <w:jc w:val="both"/>
        <w:rPr/>
      </w:pPr>
      <w:r>
        <w:rPr>
          <w:rStyle w:val="FootnoteCharacters"/>
        </w:rPr>
        <w:footnoteRef/>
      </w:r>
      <w:r>
        <w:rPr/>
        <w:t xml:space="preserve"> </w:t>
      </w:r>
      <w:r>
        <w:rPr/>
        <w:t>Given that these options contracts are to be physically settled, we do not believe that the CFTC’s Part 35 rules, which provide an exemption for qualifying swap transactions from regulation under the CEA upon specified terms and conditions, would be applicable.</w:t>
      </w:r>
    </w:p>
  </w:footnote>
  <w:footnote w:id="5">
    <w:p>
      <w:pPr>
        <w:pStyle w:val="FootnoteText"/>
        <w:spacing w:before="120" w:after="0"/>
        <w:jc w:val="both"/>
        <w:rPr/>
      </w:pPr>
      <w:r>
        <w:rPr>
          <w:rStyle w:val="FootnoteCharacters"/>
        </w:rPr>
        <w:footnoteRef/>
      </w:r>
      <w:r>
        <w:rPr/>
        <w:t xml:space="preserve"> </w:t>
      </w:r>
      <w:r>
        <w:rPr/>
        <w:t>The energy contract exemption provides an exemption from regulation under the CEA for certain energy forward contracts entered into between commercial participants subject to specified terms and conditions.  58 Fed. Reg. 21286 (April 20, 1993).  For purposes of that exemption, a commercial participant specifically includes entities who have the capacity or ability through contractual arrangements to make or take delivery.  Consistent with the views expressed by the CFTC in the Statutory Interpretation regarding the scope of the forward contract exclusion, we believe that commercial participants may have the capability to make or take delivery through contractual arrangements with third parties.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tterhead"/>
      <w:jc w:val="center"/>
      <w:rPr/>
    </w:pPr>
    <w:bookmarkStart w:id="8" w:name="letterhead"/>
    <w:bookmarkEnd w:id="8"/>
    <w:r>
      <w:rPr>
        <w:rFonts w:cs="Bodoni BT;Times New Roman" w:ascii="Bodoni BT;Times New Roman" w:hAnsi="Bodoni BT;Times New Roman"/>
        <w:sz w:val="60"/>
        <w:u w:val="single"/>
      </w:rPr>
      <w:t>CAD</w:t>
    </w:r>
    <w:r>
      <w:rPr>
        <w:rFonts w:cs="Bodoni BT;Times New Roman" w:ascii="Bodoni BT;Times New Roman" w:hAnsi="Bodoni BT;Times New Roman"/>
        <w:spacing w:val="-70"/>
        <w:sz w:val="60"/>
        <w:u w:val="single"/>
      </w:rPr>
      <w:t>W</w:t>
    </w:r>
    <w:r>
      <w:rPr>
        <w:rFonts w:cs="Bodoni BT;Times New Roman" w:ascii="Bodoni BT;Times New Roman" w:hAnsi="Bodoni BT;Times New Roman"/>
        <w:sz w:val="60"/>
        <w:u w:val="single"/>
      </w:rPr>
      <w:t>ALADER</w:t>
    </w:r>
  </w:p>
  <w:p>
    <w:pPr>
      <w:pStyle w:val="letterhead"/>
      <w:spacing w:lineRule="exact" w:line="240" w:before="0" w:after="40"/>
      <w:jc w:val="center"/>
      <w:rPr/>
    </w:pPr>
    <w:r>
      <w:rPr>
        <w:rFonts w:cs="Venetian301 Dm BT;Times New Roman" w:ascii="Venetian301 Dm BT;Times New Roman" w:hAnsi="Venetian301 Dm BT;Times New Roman"/>
        <w:b/>
        <w:i/>
        <w:spacing w:val="38"/>
        <w:sz w:val="24"/>
      </w:rPr>
      <w:t xml:space="preserve">Cadwalader, </w:t>
    </w:r>
    <w:r>
      <w:rPr>
        <w:rFonts w:cs="Venetian301 Dm BT;Times New Roman" w:ascii="Venetian301 Dm BT;Times New Roman" w:hAnsi="Venetian301 Dm BT;Times New Roman"/>
        <w:b/>
        <w:i/>
        <w:spacing w:val="38"/>
        <w:kern w:val="2"/>
        <w:sz w:val="24"/>
      </w:rPr>
      <w:t>W</w:t>
    </w:r>
    <w:r>
      <w:rPr>
        <w:rFonts w:cs="Venetian301 Dm BT;Times New Roman" w:ascii="Venetian301 Dm BT;Times New Roman" w:hAnsi="Venetian301 Dm BT;Times New Roman"/>
        <w:b/>
        <w:i/>
        <w:spacing w:val="38"/>
        <w:sz w:val="24"/>
      </w:rPr>
      <w:t>ickersham &amp; T</w:t>
    </w:r>
    <w:r>
      <w:rPr/>
      <w:t>aft</w:t>
    </w:r>
  </w:p>
  <w:tbl>
    <w:tblPr>
      <w:tblW w:w="11088" w:type="dxa"/>
      <w:jc w:val="start"/>
      <w:tblInd w:w="-662" w:type="dxa"/>
      <w:tblLayout w:type="fixed"/>
      <w:tblCellMar>
        <w:top w:w="0" w:type="dxa"/>
        <w:start w:w="108" w:type="dxa"/>
        <w:bottom w:w="0" w:type="dxa"/>
        <w:end w:w="108" w:type="dxa"/>
      </w:tblCellMar>
    </w:tblPr>
    <w:tblGrid>
      <w:gridCol w:w="10008"/>
      <w:gridCol w:w="1080"/>
    </w:tblGrid>
    <w:tr>
      <w:trPr/>
      <w:tc>
        <w:tcPr>
          <w:tcW w:w="10008" w:type="dxa"/>
          <w:tcBorders/>
        </w:tcPr>
        <w:p>
          <w:pPr>
            <w:pStyle w:val="letterhead"/>
            <w:spacing w:lineRule="exact" w:line="200" w:before="220" w:after="0"/>
            <w:rPr/>
          </w:pPr>
          <w:r>
            <w:rPr/>
            <w:t>100 Maiden Lane</w:t>
            <w:br/>
            <w:t>New York, NY 10038</w:t>
            <w:br/>
            <w:t>Tel: 212 504-6000</w:t>
            <w:br/>
            <w:t>Fax: 212 504-6666</w:t>
          </w:r>
        </w:p>
      </w:tc>
      <w:tc>
        <w:tcPr>
          <w:tcW w:w="1080" w:type="dxa"/>
          <w:tcBorders/>
        </w:tcPr>
        <w:p>
          <w:pPr>
            <w:pStyle w:val="letterhead"/>
            <w:spacing w:lineRule="exact" w:line="250" w:before="200" w:after="0"/>
            <w:rPr/>
          </w:pPr>
          <w:r>
            <w:rPr/>
            <w:t>New York</w:t>
            <w:br/>
            <w:t>Washington</w:t>
            <w:br/>
            <w:t>Charlotte</w:t>
            <w:br/>
            <w:t>London</w:t>
          </w:r>
        </w:p>
      </w:tc>
    </w:tr>
  </w:tbl>
  <w:p>
    <w:pPr>
      <w:pStyle w:val="letterhead"/>
      <w:spacing w:lineRule="exact" w:line="200"/>
      <w:ind w:start="-662" w:end="0"/>
      <w:rPr/>
    </w:pPr>
    <w:r>
      <w:rPr/>
      <w:br/>
      <w:t xml:space="preserve">Direct Dial:  </w:t>
      <w:br/>
      <w:t xml:space="preserve">Direct Fax:  </w:t>
      <w:br/>
      <w:t xml:space="preserve">Internet:  </w:t>
    </w:r>
  </w:p>
  <w:p>
    <w:pPr>
      <w:pStyle w:val="Header"/>
      <w:rPr/>
    </w:pPr>
    <w:r>
      <w:rPr/>
    </w:r>
    <w:bookmarkStart w:id="9" w:name="letterhead"/>
    <w:bookmarkStart w:id="10" w:name="letterhead"/>
    <w:bookmarkEnd w:id="10"/>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none"/>
      <w:suff w:val="nothing"/>
      <w:lvlText w:val="bcc:"/>
      <w:lvlJc w:val="start"/>
      <w:pPr>
        <w:tabs>
          <w:tab w:val="num" w:pos="720"/>
        </w:tabs>
        <w:ind w:start="720" w:hanging="720"/>
      </w:pPr>
    </w:lvl>
  </w:abstractNum>
  <w:abstractNum w:abstractNumId="3">
    <w:lvl w:ilvl="0">
      <w:start w:val="1"/>
      <w:numFmt w:val="bullet"/>
      <w:lvlText w:val=""/>
      <w:lvlJc w:val="start"/>
      <w:pPr>
        <w:tabs>
          <w:tab w:val="num" w:pos="2160"/>
        </w:tabs>
        <w:ind w:start="2160" w:hanging="720"/>
      </w:pPr>
      <w:rPr>
        <w:rFonts w:ascii="Symbol" w:hAnsi="Symbol" w:cs="Symbol" w:hint="default"/>
      </w:rPr>
    </w:lvl>
  </w:abstractNum>
  <w:abstractNum w:abstractNumId="4">
    <w:lvl w:ilvl="0">
      <w:start w:val="1"/>
      <w:numFmt w:val="none"/>
      <w:suff w:val="nothing"/>
      <w:lvlText w:val="cc:"/>
      <w:lvlJc w:val="start"/>
      <w:pPr>
        <w:tabs>
          <w:tab w:val="num" w:pos="720"/>
        </w:tabs>
        <w:ind w:start="720" w:hanging="72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Main"/>
    <w:qFormat/>
    <w:pPr>
      <w:keepNext w:val="true"/>
      <w:keepLines/>
      <w:numPr>
        <w:ilvl w:val="0"/>
        <w:numId w:val="1"/>
      </w:numPr>
      <w:spacing w:before="360" w:after="0"/>
      <w:outlineLvl w:val="0"/>
    </w:pPr>
    <w:rPr/>
  </w:style>
  <w:style w:type="paragraph" w:styleId="Heading2">
    <w:name w:val="heading 2"/>
    <w:basedOn w:val="Normal"/>
    <w:next w:val="BodyMain"/>
    <w:qFormat/>
    <w:pPr>
      <w:keepNext w:val="true"/>
      <w:keepLines/>
      <w:numPr>
        <w:ilvl w:val="1"/>
        <w:numId w:val="1"/>
      </w:numPr>
      <w:spacing w:before="240" w:after="0"/>
      <w:outlineLvl w:val="1"/>
    </w:pPr>
    <w:rPr/>
  </w:style>
  <w:style w:type="paragraph" w:styleId="Heading3">
    <w:name w:val="heading 3"/>
    <w:basedOn w:val="Normal"/>
    <w:next w:val="BodyMain"/>
    <w:qFormat/>
    <w:pPr>
      <w:keepNext w:val="true"/>
      <w:keepLines/>
      <w:numPr>
        <w:ilvl w:val="2"/>
        <w:numId w:val="1"/>
      </w:numPr>
      <w:spacing w:before="240" w:after="0"/>
      <w:outlineLvl w:val="2"/>
    </w:pPr>
    <w:rPr/>
  </w:style>
  <w:style w:type="paragraph" w:styleId="Heading4">
    <w:name w:val="heading 4"/>
    <w:basedOn w:val="Normal"/>
    <w:next w:val="BodyMain"/>
    <w:qFormat/>
    <w:pPr>
      <w:keepNext w:val="true"/>
      <w:keepLines/>
      <w:numPr>
        <w:ilvl w:val="3"/>
        <w:numId w:val="1"/>
      </w:numPr>
      <w:spacing w:before="240" w:after="0"/>
      <w:outlineLvl w:val="3"/>
    </w:pPr>
    <w:rPr/>
  </w:style>
  <w:style w:type="paragraph" w:styleId="Heading5">
    <w:name w:val="heading 5"/>
    <w:basedOn w:val="Normal"/>
    <w:next w:val="BodyMain"/>
    <w:qFormat/>
    <w:pPr>
      <w:keepNext w:val="true"/>
      <w:keepLines/>
      <w:numPr>
        <w:ilvl w:val="4"/>
        <w:numId w:val="1"/>
      </w:numPr>
      <w:spacing w:before="240" w:after="0"/>
      <w:outlineLvl w:val="4"/>
    </w:pPr>
    <w:rPr/>
  </w:style>
  <w:style w:type="paragraph" w:styleId="Heading6">
    <w:name w:val="heading 6"/>
    <w:basedOn w:val="Normal"/>
    <w:next w:val="BodyMain"/>
    <w:qFormat/>
    <w:pPr>
      <w:keepNext w:val="true"/>
      <w:keepLines/>
      <w:numPr>
        <w:ilvl w:val="5"/>
        <w:numId w:val="1"/>
      </w:numPr>
      <w:spacing w:before="240" w:after="0"/>
      <w:outlineLvl w:val="5"/>
    </w:pPr>
    <w:rPr/>
  </w:style>
  <w:style w:type="paragraph" w:styleId="Heading7">
    <w:name w:val="heading 7"/>
    <w:basedOn w:val="Normal"/>
    <w:next w:val="BodyMain"/>
    <w:qFormat/>
    <w:pPr>
      <w:keepNext w:val="true"/>
      <w:keepLines/>
      <w:numPr>
        <w:ilvl w:val="6"/>
        <w:numId w:val="1"/>
      </w:numPr>
      <w:spacing w:before="240" w:after="0"/>
      <w:outlineLvl w:val="6"/>
    </w:pPr>
    <w:rPr/>
  </w:style>
  <w:style w:type="paragraph" w:styleId="Heading8">
    <w:name w:val="heading 8"/>
    <w:basedOn w:val="Normal"/>
    <w:next w:val="BodyMain"/>
    <w:qFormat/>
    <w:pPr>
      <w:keepNext w:val="true"/>
      <w:keepLines/>
      <w:numPr>
        <w:ilvl w:val="7"/>
        <w:numId w:val="1"/>
      </w:numPr>
      <w:spacing w:before="240" w:after="0"/>
      <w:outlineLvl w:val="7"/>
    </w:pPr>
    <w:rPr/>
  </w:style>
  <w:style w:type="paragraph" w:styleId="Heading9">
    <w:name w:val="heading 9"/>
    <w:basedOn w:val="Normal"/>
    <w:next w:val="BodyMain"/>
    <w:qFormat/>
    <w:pPr>
      <w:keepNext w:val="true"/>
      <w:keepLines/>
      <w:numPr>
        <w:ilvl w:val="8"/>
        <w:numId w:val="1"/>
      </w:numPr>
      <w:spacing w:before="240" w:after="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b w:val="false"/>
      <w:i w:val="false"/>
      <w:sz w:val="24"/>
      <w:u w:val="none"/>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180" w:before="0" w:after="220"/>
      <w:jc w:val="both"/>
    </w:pPr>
    <w:rPr>
      <w:spacing w:val="-5"/>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tterhead">
    <w:name w:val="letterhead"/>
    <w:basedOn w:val="Normal"/>
    <w:qFormat/>
    <w:pPr/>
    <w:rPr>
      <w:sz w:val="15"/>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Main">
    <w:name w:val="Body Main"/>
    <w:basedOn w:val="Normal"/>
    <w:qFormat/>
    <w:pPr>
      <w:spacing w:lineRule="exact" w:line="540"/>
      <w:ind w:firstLine="1440" w:start="0" w:end="0"/>
      <w:jc w:val="both"/>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BlockQuote">
    <w:name w:val="Block Quote"/>
    <w:basedOn w:val="Normal"/>
    <w:qFormat/>
    <w:pPr>
      <w:spacing w:before="240" w:after="0"/>
      <w:ind w:hanging="0" w:start="1440" w:end="1440"/>
      <w:jc w:val="both"/>
    </w:pPr>
    <w:rPr/>
  </w:style>
  <w:style w:type="paragraph" w:styleId="BodyContd">
    <w:name w:val="Body Cont'd"/>
    <w:basedOn w:val="Normal"/>
    <w:next w:val="BodyMain"/>
    <w:qFormat/>
    <w:pPr>
      <w:spacing w:lineRule="exact" w:line="540"/>
      <w:jc w:val="both"/>
    </w:pPr>
    <w:rPr/>
  </w:style>
  <w:style w:type="paragraph" w:styleId="Bcc">
    <w:name w:val="Bcc"/>
    <w:basedOn w:val="Normal"/>
    <w:next w:val="Normal"/>
    <w:qFormat/>
    <w:pPr>
      <w:keepLines/>
      <w:numPr>
        <w:ilvl w:val="0"/>
        <w:numId w:val="2"/>
      </w:numPr>
      <w:spacing w:before="240" w:after="0"/>
    </w:pPr>
    <w:rPr>
      <w:lang w:eastAsia="en-CA"/>
    </w:rPr>
  </w:style>
  <w:style w:type="paragraph" w:styleId="Initials">
    <w:name w:val="Initials"/>
    <w:basedOn w:val="Normal"/>
    <w:next w:val="Cc"/>
    <w:qFormat/>
    <w:pPr>
      <w:keepLines/>
      <w:spacing w:before="480" w:after="0"/>
      <w:ind w:hanging="0" w:start="4680" w:end="0"/>
    </w:pPr>
    <w:rPr>
      <w:caps/>
    </w:rPr>
  </w:style>
  <w:style w:type="paragraph" w:styleId="Cc">
    <w:name w:val="Cc"/>
    <w:basedOn w:val="Normal"/>
    <w:next w:val="Bcc"/>
    <w:qFormat/>
    <w:pPr>
      <w:keepLines/>
      <w:numPr>
        <w:ilvl w:val="0"/>
        <w:numId w:val="4"/>
      </w:numPr>
      <w:spacing w:before="240" w:after="0"/>
    </w:pPr>
    <w:rPr>
      <w:lang w:eastAsia="en-CA"/>
    </w:rPr>
  </w:style>
  <w:style w:type="paragraph" w:styleId="FootnoteText">
    <w:name w:val="footnote text"/>
    <w:basedOn w:val="Normal"/>
    <w:pPr>
      <w:tabs>
        <w:tab w:val="clear" w:pos="720"/>
        <w:tab w:val="left" w:pos="360" w:leader="none"/>
      </w:tabs>
      <w:spacing w:before="120" w:after="0"/>
      <w:jc w:val="both"/>
    </w:pPr>
    <w:rPr>
      <w:sz w:val="22"/>
    </w:rPr>
  </w:style>
  <w:style w:type="paragraph" w:styleId="ListItem">
    <w:name w:val="List Item"/>
    <w:basedOn w:val="Normal"/>
    <w:qFormat/>
    <w:pPr>
      <w:numPr>
        <w:ilvl w:val="0"/>
        <w:numId w:val="3"/>
      </w:numPr>
      <w:tabs>
        <w:tab w:val="left" w:pos="720" w:leader="none"/>
      </w:tabs>
      <w:spacing w:before="240" w:after="0"/>
      <w:ind w:hanging="0" w:start="720" w:end="0"/>
      <w:jc w:val="both"/>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Body">
    <w:name w:val="Body"/>
    <w:basedOn w:val="Normal"/>
    <w:qFormat/>
    <w:pPr>
      <w:spacing w:lineRule="auto" w:line="480" w:before="240" w:after="0"/>
      <w:ind w:firstLine="1440" w:start="0" w:end="0"/>
      <w:jc w:val="both"/>
    </w:pPr>
    <w:rPr>
      <w:rFonts w:ascii="CG Times" w:hAnsi="CG Times" w:cs="CG Times"/>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CWTMemo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2000-08-18T11:14:00Z</dcterms:created>
  <dc:creator>smester</dc:creator>
  <dc:description/>
  <dc:language>en-CA</dc:language>
  <cp:lastModifiedBy>smester</cp:lastModifiedBy>
  <cp:lastPrinted>1999-10-19T16:31:00Z</cp:lastPrinted>
  <dcterms:modified xsi:type="dcterms:W3CDTF">2000-08-18T11:14:00Z</dcterms:modified>
  <cp:revision>2</cp:revision>
  <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CWT\NYLIB1\412473.6</vt:lpwstr>
  </property>
  <property fmtid="{D5CDD505-2E9C-101B-9397-08002B2CF9AE}" pid="4" name="PCDOCS ID Short">
    <vt:lpwstr>412473.6</vt:lpwstr>
  </property>
</Properties>
</file>