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8"/>
        </w:rPr>
      </w:pPr>
      <w:r>
        <w:rPr>
          <w:rFonts w:cs="Arial" w:ascii="Arial" w:hAnsi="Arial"/>
          <w:sz w:val="28"/>
        </w:rPr>
        <w:t xml:space="preserve">MEMO ENRON WORLDWIDE EMPLOYEES </w:t>
      </w:r>
    </w:p>
    <w:p>
      <w:pPr>
        <w:pStyle w:val="Heading"/>
        <w:rPr>
          <w:rFonts w:ascii="Arial" w:hAnsi="Arial" w:cs="Arial"/>
          <w:sz w:val="28"/>
        </w:rPr>
      </w:pPr>
      <w:r>
        <w:rPr>
          <w:rFonts w:cs="Arial" w:ascii="Arial" w:hAnsi="Arial"/>
          <w:sz w:val="28"/>
        </w:rPr>
        <w:t>DRAFT #2</w:t>
      </w:r>
    </w:p>
    <w:p>
      <w:pPr>
        <w:pStyle w:val="Heading"/>
        <w:rPr>
          <w:rFonts w:ascii="Arial" w:hAnsi="Arial" w:cs="Arial"/>
          <w:sz w:val="28"/>
        </w:rPr>
      </w:pPr>
      <w:r>
        <w:rPr>
          <w:rFonts w:cs="Arial" w:ascii="Arial" w:hAnsi="Arial"/>
          <w:sz w:val="28"/>
        </w:rPr>
        <w:t>21 March 2000</w:t>
      </w:r>
    </w:p>
    <w:p>
      <w:pPr>
        <w:pStyle w:val="Heading"/>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To:</w:t>
        <w:tab/>
        <w:tab/>
        <w:t>All Enron employees</w:t>
      </w:r>
    </w:p>
    <w:p>
      <w:pPr>
        <w:pStyle w:val="Heading"/>
        <w:jc w:val="start"/>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From:</w:t>
        <w:tab/>
        <w:tab/>
        <w:t>Office of the Chairman</w:t>
      </w:r>
    </w:p>
    <w:p>
      <w:pPr>
        <w:pStyle w:val="Heading"/>
        <w:jc w:val="start"/>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Subject:</w:t>
        <w:tab/>
        <w:t>Enron’s international strategy</w:t>
      </w:r>
    </w:p>
    <w:p>
      <w:pPr>
        <w:pStyle w:val="Heading"/>
        <w:jc w:val="start"/>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t>Date:</w:t>
        <w:tab/>
        <w:tab/>
        <w:t>April xx, 2000</w:t>
      </w:r>
    </w:p>
    <w:p>
      <w:pPr>
        <w:pStyle w:val="Heading"/>
        <w:jc w:val="start"/>
        <w:rPr>
          <w:rFonts w:ascii="Arial" w:hAnsi="Arial" w:cs="Arial"/>
          <w:sz w:val="24"/>
        </w:rPr>
      </w:pPr>
      <w:r>
        <w:rPr>
          <w:rFonts w:cs="Arial" w:ascii="Arial" w:hAnsi="Arial"/>
          <w:sz w:val="24"/>
        </w:rPr>
      </w:r>
    </w:p>
    <w:p>
      <w:pPr>
        <w:pStyle w:val="Normal"/>
        <w:rPr>
          <w:rFonts w:ascii="Arial" w:hAnsi="Arial" w:cs="Arial"/>
        </w:rPr>
      </w:pPr>
      <w:r>
        <w:rPr>
          <w:rFonts w:cs="Arial" w:ascii="Arial" w:hAnsi="Arial"/>
        </w:rPr>
        <w:t>Enron is making some changes in its areas of focus across the world, and our employees have raised questions about our international strategy in particular.  We first</w:t>
      </w:r>
    </w:p>
    <w:p>
      <w:pPr>
        <w:pStyle w:val="Normal"/>
        <w:rPr>
          <w:rFonts w:ascii="Arial" w:hAnsi="Arial" w:cs="Arial"/>
        </w:rPr>
      </w:pPr>
      <w:r>
        <w:rPr>
          <w:rFonts w:cs="Arial" w:ascii="Arial" w:hAnsi="Arial"/>
        </w:rPr>
        <w:t>would like to affirm that, while the nature of our business is evolving, our commitment to being a global company is steadfast.</w:t>
      </w:r>
    </w:p>
    <w:p>
      <w:pPr>
        <w:pStyle w:val="Normal"/>
        <w:rPr>
          <w:rFonts w:ascii="Arial" w:hAnsi="Arial" w:cs="Arial"/>
        </w:rPr>
      </w:pPr>
      <w:r>
        <w:rPr>
          <w:rFonts w:cs="Arial" w:ascii="Arial" w:hAnsi="Arial"/>
        </w:rPr>
      </w:r>
    </w:p>
    <w:p>
      <w:pPr>
        <w:pStyle w:val="Normal"/>
        <w:rPr/>
      </w:pPr>
      <w:r>
        <w:rPr>
          <w:rFonts w:cs="Arial" w:ascii="Arial" w:hAnsi="Arial"/>
        </w:rPr>
        <w:t xml:space="preserve">If one word could best summarize the almost legendary success Enron has achieved in recent years, it would have to be </w:t>
      </w:r>
      <w:r>
        <w:rPr>
          <w:rFonts w:cs="Arial" w:ascii="Arial" w:hAnsi="Arial"/>
          <w:i/>
        </w:rPr>
        <w:t>adaptation</w:t>
      </w:r>
      <w:r>
        <w:rPr>
          <w:rFonts w:cs="Arial" w:ascii="Arial" w:hAnsi="Arial"/>
        </w:rPr>
        <w:t>.  Anyone who has watched Enron’s transformation from a domestic natural gas pipeline company into a global leader in energy, natural gas, and communications knows the critical role our ability to adapt has played in that growth.</w:t>
      </w:r>
    </w:p>
    <w:p>
      <w:pPr>
        <w:pStyle w:val="Normal"/>
        <w:rPr>
          <w:rFonts w:ascii="Arial" w:hAnsi="Arial" w:cs="Arial"/>
        </w:rPr>
      </w:pPr>
      <w:r>
        <w:rPr>
          <w:rFonts w:cs="Arial" w:ascii="Arial" w:hAnsi="Arial"/>
        </w:rPr>
      </w:r>
    </w:p>
    <w:p>
      <w:pPr>
        <w:pStyle w:val="Normal"/>
        <w:rPr/>
      </w:pPr>
      <w:r>
        <w:rPr>
          <w:rFonts w:cs="Arial" w:ascii="Arial" w:hAnsi="Arial"/>
          <w:color w:val="000000"/>
          <w:lang w:eastAsia="en-US"/>
        </w:rPr>
        <w:t>As the marketplace continues to evolve and technology plays an increasingly prominent role in day-to-day business operations, there will be many new opportunities for Enron to move beyond our traditional roles in the global economy and find new channels for business.</w:t>
      </w:r>
    </w:p>
    <w:p>
      <w:pPr>
        <w:pStyle w:val="Normal"/>
        <w:rPr>
          <w:rFonts w:ascii="Arial" w:hAnsi="Arial" w:cs="Arial"/>
          <w:color w:val="000000"/>
          <w:lang w:eastAsia="en-US"/>
        </w:rPr>
      </w:pPr>
      <w:r>
        <w:rPr>
          <w:rFonts w:cs="Arial" w:ascii="Arial" w:hAnsi="Arial"/>
          <w:color w:val="000000"/>
          <w:lang w:eastAsia="en-US"/>
        </w:rPr>
      </w:r>
    </w:p>
    <w:p>
      <w:pPr>
        <w:pStyle w:val="BodyText"/>
        <w:rPr>
          <w:rFonts w:ascii="Arial" w:hAnsi="Arial" w:cs="Arial"/>
          <w:i w:val="false"/>
          <w:i w:val="false"/>
        </w:rPr>
      </w:pPr>
      <w:r>
        <w:rPr>
          <w:rFonts w:cs="Arial" w:ascii="Arial" w:hAnsi="Arial"/>
          <w:i w:val="false"/>
        </w:rPr>
        <w:t xml:space="preserve">Internationally, Enron will (focus/expand) its efforts (in/into) the same high value areas that we have been pursuing in the United States and Europe.  These include energy services, energy outsourcing, communications and other broadband services.  </w:t>
      </w:r>
    </w:p>
    <w:p>
      <w:pPr>
        <w:pStyle w:val="Normal"/>
        <w:rPr>
          <w:rFonts w:ascii="Arial" w:hAnsi="Arial" w:cs="Arial"/>
          <w:i/>
          <w:i/>
          <w:color w:val="000000"/>
          <w:lang w:eastAsia="en-US"/>
        </w:rPr>
      </w:pPr>
      <w:r>
        <w:rPr>
          <w:rFonts w:cs="Arial" w:ascii="Arial" w:hAnsi="Arial"/>
          <w:i/>
          <w:color w:val="000000"/>
          <w:lang w:eastAsia="en-US"/>
        </w:rPr>
      </w:r>
    </w:p>
    <w:p>
      <w:pPr>
        <w:pStyle w:val="Normal"/>
        <w:rPr>
          <w:rFonts w:ascii="Arial" w:hAnsi="Arial" w:cs="Arial"/>
          <w:b/>
          <w:color w:val="000000"/>
          <w:lang w:eastAsia="en-US"/>
        </w:rPr>
      </w:pPr>
      <w:r>
        <w:rPr>
          <w:rFonts w:cs="Arial" w:ascii="Arial" w:hAnsi="Arial"/>
          <w:b/>
          <w:color w:val="000000"/>
          <w:lang w:eastAsia="en-US"/>
        </w:rPr>
        <w:t xml:space="preserve">Diomedes version:  </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t>A business model that requires fewer physical assets while offering higher returns on invested capital will be especially attractive, and fully consistent with our stock price performance and targets.  We intend to apply a strategy to make the best possible use of all corporate resources to meet that goal.</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rPr>
        <w:t>Consequently, our international focus will be in regions that allow us to pursue these new business lines.  In the eastern hemisphere, our target markets are Japan, South Korea, Australia and India.    In Latin America, our targets are the Southern Cone and certain markets in Central America and the Caribbean.  We will pursue selected projects in other parts of the world when they make strategic business sense.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David Haug version: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Our international focus, then, will no longer be exclusively wholesale.  We have built a great core business in our international markets and are now adding new businesses.  We are not necessarily going to develop, build and operate new energy infrastructure at the pace you have seen in the past, but we will if the project is high quality and makes sense.  A good example of this is the Dolphin project in the Middle East, which provides excellent opportunities spanning the energy chain.</w:t>
      </w:r>
    </w:p>
    <w:p>
      <w:pPr>
        <w:pStyle w:val="Heading"/>
        <w:jc w:val="start"/>
        <w:rPr>
          <w:rFonts w:ascii="Arial" w:hAnsi="Arial" w:cs="Arial"/>
          <w:b w:val="false"/>
          <w:sz w:val="24"/>
        </w:rPr>
      </w:pPr>
      <w:r>
        <w:rPr>
          <w:rFonts w:cs="Arial" w:ascii="Arial" w:hAnsi="Arial"/>
          <w:b w:val="false"/>
          <w:sz w:val="24"/>
        </w:rPr>
      </w:r>
    </w:p>
    <w:p>
      <w:pPr>
        <w:pStyle w:val="Header"/>
        <w:tabs>
          <w:tab w:val="clear" w:pos="4320"/>
          <w:tab w:val="clear" w:pos="8640"/>
        </w:tabs>
        <w:rPr>
          <w:rFonts w:ascii="Arial" w:hAnsi="Arial" w:cs="Arial"/>
          <w:b/>
        </w:rPr>
      </w:pPr>
      <w:r>
        <w:rPr>
          <w:rFonts w:cs="Arial" w:ascii="Arial" w:hAnsi="Arial"/>
          <w:b/>
        </w:rPr>
        <w:t>Both</w:t>
      </w:r>
    </w:p>
    <w:p>
      <w:pPr>
        <w:pStyle w:val="Header"/>
        <w:tabs>
          <w:tab w:val="clear" w:pos="4320"/>
          <w:tab w:val="clear" w:pos="8640"/>
        </w:tabs>
        <w:rPr>
          <w:rFonts w:ascii="Arial" w:hAnsi="Arial" w:cs="Arial"/>
          <w:b/>
        </w:rPr>
      </w:pPr>
      <w:r>
        <w:rPr>
          <w:rFonts w:cs="Arial" w:ascii="Arial" w:hAnsi="Arial"/>
          <w:b/>
        </w:rPr>
      </w:r>
    </w:p>
    <w:p>
      <w:pPr>
        <w:pStyle w:val="Header"/>
        <w:tabs>
          <w:tab w:val="clear" w:pos="4320"/>
          <w:tab w:val="clear" w:pos="8640"/>
        </w:tabs>
        <w:rPr>
          <w:rFonts w:ascii="Arial" w:hAnsi="Arial" w:cs="Arial"/>
        </w:rPr>
      </w:pPr>
      <w:r>
        <w:rPr>
          <w:rFonts w:cs="Arial" w:ascii="Arial" w:hAnsi="Arial"/>
        </w:rPr>
        <w:t>We also are looking at all of our existing assets to make sure we are creating the greatest shareholder value possible.   We are reviewing contracts and considering refinancing the debt on some projects as well as looking into asset monetization opportunities.</w:t>
      </w:r>
    </w:p>
    <w:p>
      <w:pPr>
        <w:pStyle w:val="Header"/>
        <w:tabs>
          <w:tab w:val="clear" w:pos="4320"/>
          <w:tab w:val="clear" w:pos="8640"/>
        </w:tabs>
        <w:rPr>
          <w:rFonts w:ascii="Arial" w:hAnsi="Arial" w:cs="Arial"/>
        </w:rPr>
      </w:pPr>
      <w:r>
        <w:rPr>
          <w:rFonts w:eastAsia="Arial" w:cs="Arial" w:ascii="Arial" w:hAnsi="Arial"/>
        </w:rPr>
        <w:t xml:space="preserve"> </w:t>
      </w:r>
    </w:p>
    <w:p>
      <w:pPr>
        <w:pStyle w:val="Normal"/>
        <w:rPr/>
      </w:pPr>
      <w:r>
        <w:rPr>
          <w:rFonts w:cs="Arial" w:ascii="Arial" w:hAnsi="Arial"/>
        </w:rPr>
        <w:t>Enron remains in a growth mode and international markets remain a key focus.  These factors create tremendous opportunities for our employees.  As we move into these new product lines, people may be given the opportunity to take on new roles or different assignments and we</w:t>
      </w:r>
      <w:r>
        <w:rPr>
          <w:rFonts w:cs="Arial" w:ascii="Arial" w:hAnsi="Arial"/>
          <w:color w:val="000000"/>
          <w:lang w:eastAsia="en-US"/>
        </w:rPr>
        <w:t xml:space="preserve"> hope that you join us in </w:t>
      </w:r>
      <w:r>
        <w:rPr>
          <w:rFonts w:cs="Arial" w:ascii="Arial" w:hAnsi="Arial"/>
        </w:rPr>
        <w:t>looking forward to the shared journey before us.</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Confidential Draft</w:t>
    </w:r>
  </w:p>
  <w:p>
    <w:pPr>
      <w:pStyle w:val="Footer"/>
      <w:jc w:val="center"/>
      <w:rPr>
        <w:rFonts w:ascii="Arial" w:hAnsi="Arial" w:cs="Arial"/>
        <w:sz w:val="20"/>
      </w:rPr>
    </w:pPr>
    <w:r>
      <w:rPr>
        <w:rFonts w:cs="Arial" w:ascii="Arial" w:hAnsi="Arial"/>
        <w:sz w:val="20"/>
      </w:rPr>
      <w:t>20 March, 2000 6:15 p.m.</w:t>
    </w:r>
  </w:p>
  <w:p>
    <w:pPr>
      <w:pStyle w:val="Footer"/>
      <w:rPr>
        <w:rFonts w:ascii="Arial" w:hAnsi="Arial" w:cs="Arial"/>
        <w:sz w:val="20"/>
      </w:rPr>
    </w:pPr>
    <w:r>
      <w:rPr>
        <w:rFonts w:cs="Arial" w:ascii="Arial" w:hAnsi="Arial"/>
        <w:sz w:val="20"/>
      </w:rPr>
    </w:r>
  </w:p>
</w:ftr>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2000-03-21T08:15:00Z</dcterms:created>
  <dc:creator>Dave Rhea</dc:creator>
  <dc:description/>
  <dc:language>en-CA</dc:language>
  <cp:lastModifiedBy>Kelly Kimberly</cp:lastModifiedBy>
  <cp:lastPrinted>2000-03-21T08:47:00Z</cp:lastPrinted>
  <dcterms:modified xsi:type="dcterms:W3CDTF">2000-03-21T17:40:00Z</dcterms:modified>
  <cp:revision>4</cp:revision>
  <dc:subject/>
  <dc:title>For example, the world’s fast-growing technological demands hold particular promise for our company</dc:title>
</cp:coreProperties>
</file>