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sz w:val="28"/>
        </w:rPr>
      </w:pPr>
      <w:r>
        <w:rPr>
          <w:sz w:val="28"/>
        </w:rPr>
        <w:t>INVITATION</w:t>
      </w:r>
    </w:p>
    <w:p>
      <w:pPr>
        <w:pStyle w:val="BodyText"/>
        <w:rPr>
          <w:sz w:val="28"/>
        </w:rPr>
      </w:pPr>
      <w:r>
        <w:rPr>
          <w:sz w:val="28"/>
        </w:rPr>
      </w:r>
    </w:p>
    <w:p>
      <w:pPr>
        <w:pStyle w:val="BodyText"/>
        <w:jc w:val="center"/>
        <w:rPr>
          <w:b/>
          <w:bCs/>
          <w:sz w:val="24"/>
        </w:rPr>
      </w:pPr>
      <w:r>
        <w:rPr>
          <w:b/>
          <w:bCs/>
          <w:sz w:val="24"/>
        </w:rPr>
        <w:t>Global Emissions Strategy Meeting</w:t>
      </w:r>
    </w:p>
    <w:p>
      <w:pPr>
        <w:pStyle w:val="BodyText"/>
        <w:jc w:val="center"/>
        <w:rPr>
          <w:b/>
          <w:bCs/>
          <w:i/>
          <w:i/>
          <w:iCs/>
          <w:sz w:val="24"/>
        </w:rPr>
      </w:pPr>
      <w:r>
        <w:rPr>
          <w:b/>
          <w:bCs/>
          <w:i/>
          <w:iCs/>
          <w:sz w:val="24"/>
        </w:rPr>
        <w:t>Emerging Markets for Enron’s Energy Solutions</w:t>
      </w:r>
    </w:p>
    <w:p>
      <w:pPr>
        <w:pStyle w:val="BodyText"/>
        <w:rPr>
          <w:b/>
          <w:bCs/>
          <w:i/>
          <w:i/>
          <w:iCs/>
          <w:sz w:val="24"/>
        </w:rPr>
      </w:pPr>
      <w:r>
        <w:rPr>
          <w:b/>
          <w:bCs/>
          <w:i/>
          <w:iCs/>
          <w:sz w:val="24"/>
        </w:rPr>
      </w:r>
    </w:p>
    <w:p>
      <w:pPr>
        <w:pStyle w:val="BodyText"/>
        <w:rPr/>
      </w:pPr>
      <w:r>
        <w:rPr/>
      </w:r>
    </w:p>
    <w:p>
      <w:pPr>
        <w:pStyle w:val="BodyText"/>
        <w:rPr/>
      </w:pPr>
      <w:r>
        <w:rPr/>
        <w:t xml:space="preserve">Addressing air emissions issues is high on political and policy agendas at home and abroad.  Enron’s businesses provide a variety of innovative energy solutions and strategic risk management services that enable its customers to reduce emissions cost-effectively. </w:t>
      </w:r>
    </w:p>
    <w:p>
      <w:pPr>
        <w:pStyle w:val="BodyText"/>
        <w:rPr/>
      </w:pPr>
      <w:r>
        <w:rPr/>
      </w:r>
    </w:p>
    <w:p>
      <w:pPr>
        <w:pStyle w:val="BodyText"/>
        <w:rPr/>
      </w:pPr>
      <w:r>
        <w:rPr/>
        <w:t>Over the next several months, Enron’s Environmental Strategies Group will be developing strategies on global emissions issues that help Enron commercial units identify and seize new market opportunities and advance Enron’s corporate positions on climate change and other air quality issues.  To jumpstart this process, we will be bringing together key Enron businesses to discuss the current policy landscape and business opportunities associated with global emissions issues.</w:t>
      </w:r>
    </w:p>
    <w:p>
      <w:pPr>
        <w:pStyle w:val="Normal"/>
        <w:rPr>
          <w:sz w:val="20"/>
        </w:rPr>
      </w:pPr>
      <w:r>
        <w:rPr>
          <w:sz w:val="20"/>
        </w:rPr>
      </w:r>
    </w:p>
    <w:p>
      <w:pPr>
        <w:pStyle w:val="Normal"/>
        <w:rPr>
          <w:sz w:val="20"/>
        </w:rPr>
      </w:pPr>
      <w:r>
        <w:rPr>
          <w:sz w:val="20"/>
        </w:rPr>
        <w:t>The forum will cover:</w:t>
      </w:r>
    </w:p>
    <w:p>
      <w:pPr>
        <w:pStyle w:val="Normal"/>
        <w:ind w:start="720" w:end="0"/>
        <w:rPr>
          <w:sz w:val="20"/>
        </w:rPr>
      </w:pPr>
      <w:r>
        <w:rPr>
          <w:sz w:val="20"/>
        </w:rPr>
      </w:r>
    </w:p>
    <w:p>
      <w:pPr>
        <w:pStyle w:val="Normal"/>
        <w:numPr>
          <w:ilvl w:val="0"/>
          <w:numId w:val="5"/>
        </w:numPr>
        <w:rPr>
          <w:sz w:val="20"/>
        </w:rPr>
      </w:pPr>
      <w:r>
        <w:rPr>
          <w:sz w:val="20"/>
        </w:rPr>
        <w:t>Enron’s profile on emissions regulations worldwide</w:t>
      </w:r>
    </w:p>
    <w:p>
      <w:pPr>
        <w:pStyle w:val="Normal"/>
        <w:numPr>
          <w:ilvl w:val="0"/>
          <w:numId w:val="5"/>
        </w:numPr>
        <w:rPr>
          <w:sz w:val="20"/>
        </w:rPr>
      </w:pPr>
      <w:r>
        <w:rPr>
          <w:sz w:val="20"/>
        </w:rPr>
        <w:t>Current policy landscape – global climate change and U.S. multipollutant strategies</w:t>
      </w:r>
    </w:p>
    <w:p>
      <w:pPr>
        <w:pStyle w:val="Normal"/>
        <w:numPr>
          <w:ilvl w:val="0"/>
          <w:numId w:val="5"/>
        </w:numPr>
        <w:rPr>
          <w:sz w:val="20"/>
        </w:rPr>
      </w:pPr>
      <w:r>
        <w:rPr>
          <w:sz w:val="20"/>
        </w:rPr>
        <w:t>Enron initiatives and proposals on domestic and international emissions reduction programs</w:t>
      </w:r>
    </w:p>
    <w:p>
      <w:pPr>
        <w:pStyle w:val="Normal"/>
        <w:numPr>
          <w:ilvl w:val="0"/>
          <w:numId w:val="5"/>
        </w:numPr>
        <w:rPr>
          <w:sz w:val="20"/>
        </w:rPr>
      </w:pPr>
      <w:r>
        <w:rPr>
          <w:sz w:val="20"/>
        </w:rPr>
        <w:t xml:space="preserve">Strategic options for policy and business development – </w:t>
      </w:r>
      <w:r>
        <w:rPr>
          <w:i/>
          <w:iCs/>
          <w:sz w:val="20"/>
        </w:rPr>
        <w:t>where we want to be</w:t>
      </w:r>
    </w:p>
    <w:p>
      <w:pPr>
        <w:pStyle w:val="Normal"/>
        <w:rPr>
          <w:sz w:val="20"/>
        </w:rPr>
      </w:pPr>
      <w:r>
        <w:rPr>
          <w:sz w:val="20"/>
        </w:rPr>
      </w:r>
    </w:p>
    <w:p>
      <w:pPr>
        <w:pStyle w:val="BodyText"/>
        <w:rPr/>
      </w:pPr>
      <w:r>
        <w:rPr/>
        <w:t xml:space="preserve">A prime objective of the session is to receive feedback on your commercial interests and input on policy options so that we may develop the best business and policy strategies for both the short and long term.  </w:t>
      </w:r>
      <w:r>
        <w:rPr>
          <w:b/>
          <w:bCs/>
        </w:rPr>
        <w:t>We invite you or a member of your group to participate in this important strategic discussion.</w:t>
      </w:r>
    </w:p>
    <w:p>
      <w:pPr>
        <w:pStyle w:val="Normal"/>
        <w:rPr>
          <w:b/>
          <w:bCs/>
          <w:sz w:val="20"/>
        </w:rPr>
      </w:pPr>
      <w:r>
        <w:rPr>
          <w:b/>
          <w:bCs/>
          <w:sz w:val="20"/>
        </w:rPr>
      </w:r>
    </w:p>
    <w:p>
      <w:pPr>
        <w:pStyle w:val="Normal"/>
        <w:rPr>
          <w:b/>
          <w:bCs/>
          <w:sz w:val="20"/>
        </w:rPr>
      </w:pPr>
      <w:r>
        <w:rPr>
          <w:b/>
          <w:bCs/>
          <w:sz w:val="20"/>
        </w:rPr>
        <w:t xml:space="preserve">Proposed Dates:  </w:t>
      </w:r>
    </w:p>
    <w:p>
      <w:pPr>
        <w:pStyle w:val="Normal"/>
        <w:rPr>
          <w:b/>
          <w:bCs/>
          <w:sz w:val="20"/>
        </w:rPr>
      </w:pPr>
      <w:r>
        <w:rPr>
          <w:b/>
          <w:bCs/>
          <w:sz w:val="20"/>
        </w:rPr>
      </w:r>
    </w:p>
    <w:p>
      <w:pPr>
        <w:pStyle w:val="Normal"/>
        <w:rPr/>
      </w:pPr>
      <w:r>
        <w:rPr>
          <w:sz w:val="20"/>
        </w:rPr>
        <w:t xml:space="preserve">May 16, 17 or 18  – </w:t>
      </w:r>
      <w:r>
        <w:rPr>
          <w:i/>
          <w:iCs/>
          <w:sz w:val="20"/>
        </w:rPr>
        <w:t>please respond immediately with your available dates</w:t>
      </w:r>
    </w:p>
    <w:p>
      <w:pPr>
        <w:pStyle w:val="Normal"/>
        <w:rPr>
          <w:i/>
          <w:i/>
          <w:iCs/>
          <w:sz w:val="20"/>
        </w:rPr>
      </w:pPr>
      <w:r>
        <w:rPr>
          <w:i/>
          <w:iCs/>
          <w:sz w:val="20"/>
        </w:rPr>
      </w:r>
    </w:p>
    <w:p>
      <w:pPr>
        <w:pStyle w:val="Normal"/>
        <w:rPr/>
      </w:pPr>
      <w:r>
        <w:rPr>
          <w:b/>
          <w:bCs/>
          <w:sz w:val="20"/>
        </w:rPr>
        <w:t>Timing:</w:t>
      </w:r>
      <w:r>
        <w:rPr>
          <w:sz w:val="20"/>
        </w:rPr>
        <w:t xml:space="preserve">  10 – 11:30 a.m.; A working lunch focusing on domestic multipollutant proposals will follow</w:t>
      </w:r>
    </w:p>
    <w:p>
      <w:pPr>
        <w:pStyle w:val="Heading3"/>
        <w:ind w:hanging="0" w:start="0"/>
        <w:rPr>
          <w:sz w:val="20"/>
        </w:rPr>
      </w:pPr>
      <w:r>
        <w:rPr>
          <w:sz w:val="20"/>
        </w:rPr>
      </w:r>
    </w:p>
    <w:p>
      <w:pPr>
        <w:pStyle w:val="Heading3"/>
        <w:ind w:hanging="0" w:start="0"/>
        <w:rPr/>
      </w:pPr>
      <w:r>
        <w:rPr/>
        <w:t xml:space="preserve">Location:  </w:t>
      </w:r>
      <w:r>
        <w:rPr>
          <w:b w:val="false"/>
          <w:bCs w:val="false"/>
        </w:rPr>
        <w:t xml:space="preserve">Enron Building </w:t>
      </w:r>
    </w:p>
    <w:p>
      <w:pPr>
        <w:pStyle w:val="Normal"/>
        <w:rPr>
          <w:sz w:val="20"/>
        </w:rPr>
      </w:pPr>
      <w:r>
        <w:rPr>
          <w:sz w:val="20"/>
        </w:rPr>
      </w:r>
    </w:p>
    <w:p>
      <w:pPr>
        <w:pStyle w:val="Heading1"/>
        <w:ind w:hanging="0" w:start="0"/>
        <w:rPr>
          <w:sz w:val="20"/>
        </w:rPr>
      </w:pPr>
      <w:r>
        <w:rPr>
          <w:sz w:val="20"/>
        </w:rPr>
        <w:t>Topics for Discussion:</w:t>
      </w:r>
    </w:p>
    <w:p>
      <w:pPr>
        <w:pStyle w:val="Normal"/>
        <w:rPr>
          <w:sz w:val="20"/>
        </w:rPr>
      </w:pPr>
      <w:r>
        <w:rPr>
          <w:sz w:val="20"/>
        </w:rPr>
      </w:r>
    </w:p>
    <w:p>
      <w:pPr>
        <w:pStyle w:val="Normal"/>
        <w:rPr>
          <w:sz w:val="20"/>
        </w:rPr>
      </w:pPr>
      <w:r>
        <w:rPr>
          <w:sz w:val="20"/>
        </w:rPr>
        <w:t>Global Emissions - Air Quality and Climate Change</w:t>
      </w:r>
    </w:p>
    <w:p>
      <w:pPr>
        <w:pStyle w:val="Normal"/>
        <w:numPr>
          <w:ilvl w:val="0"/>
          <w:numId w:val="3"/>
        </w:numPr>
        <w:rPr>
          <w:sz w:val="20"/>
        </w:rPr>
      </w:pPr>
      <w:r>
        <w:rPr>
          <w:sz w:val="20"/>
        </w:rPr>
        <w:t>Overview of domestic and international frameworks</w:t>
      </w:r>
    </w:p>
    <w:p>
      <w:pPr>
        <w:pStyle w:val="Normal"/>
        <w:numPr>
          <w:ilvl w:val="0"/>
          <w:numId w:val="3"/>
        </w:numPr>
        <w:rPr>
          <w:sz w:val="20"/>
        </w:rPr>
      </w:pPr>
      <w:r>
        <w:rPr>
          <w:sz w:val="20"/>
        </w:rPr>
        <w:t>What is moving - domestic and international</w:t>
      </w:r>
    </w:p>
    <w:p>
      <w:pPr>
        <w:pStyle w:val="Normal"/>
        <w:rPr>
          <w:sz w:val="20"/>
        </w:rPr>
      </w:pPr>
      <w:r>
        <w:rPr>
          <w:sz w:val="20"/>
        </w:rPr>
      </w:r>
    </w:p>
    <w:p>
      <w:pPr>
        <w:pStyle w:val="Normal"/>
        <w:rPr>
          <w:sz w:val="20"/>
        </w:rPr>
      </w:pPr>
      <w:r>
        <w:rPr>
          <w:sz w:val="20"/>
        </w:rPr>
        <w:t>Emerging Markets</w:t>
      </w:r>
    </w:p>
    <w:p>
      <w:pPr>
        <w:pStyle w:val="Normal"/>
        <w:numPr>
          <w:ilvl w:val="0"/>
          <w:numId w:val="4"/>
        </w:numPr>
        <w:rPr>
          <w:sz w:val="20"/>
        </w:rPr>
      </w:pPr>
      <w:r>
        <w:rPr>
          <w:sz w:val="20"/>
        </w:rPr>
        <w:t>European perspectives</w:t>
      </w:r>
    </w:p>
    <w:p>
      <w:pPr>
        <w:pStyle w:val="Normal"/>
        <w:numPr>
          <w:ilvl w:val="0"/>
          <w:numId w:val="4"/>
        </w:numPr>
        <w:rPr>
          <w:sz w:val="20"/>
        </w:rPr>
      </w:pPr>
      <w:r>
        <w:rPr>
          <w:sz w:val="20"/>
        </w:rPr>
        <w:t xml:space="preserve">Canada and UK climate change programs </w:t>
      </w:r>
    </w:p>
    <w:p>
      <w:pPr>
        <w:pStyle w:val="Normal"/>
        <w:numPr>
          <w:ilvl w:val="0"/>
          <w:numId w:val="3"/>
        </w:numPr>
        <w:rPr>
          <w:sz w:val="20"/>
        </w:rPr>
      </w:pPr>
      <w:r>
        <w:rPr>
          <w:sz w:val="20"/>
        </w:rPr>
        <w:t>Links with energy policy and California’s energy problems</w:t>
      </w:r>
    </w:p>
    <w:p>
      <w:pPr>
        <w:pStyle w:val="Normal"/>
        <w:ind w:firstLine="720" w:start="1440" w:end="0"/>
        <w:rPr>
          <w:sz w:val="20"/>
        </w:rPr>
      </w:pPr>
      <w:r>
        <w:rPr>
          <w:sz w:val="20"/>
        </w:rPr>
      </w:r>
    </w:p>
    <w:p>
      <w:pPr>
        <w:pStyle w:val="Heading3"/>
        <w:ind w:hanging="0" w:start="0"/>
        <w:rPr>
          <w:b w:val="false"/>
          <w:bCs w:val="false"/>
        </w:rPr>
      </w:pPr>
      <w:r>
        <w:rPr>
          <w:b w:val="false"/>
          <w:bCs w:val="false"/>
        </w:rPr>
        <w:t>Building Enron’s Global Emissions Business Strategy</w:t>
      </w:r>
    </w:p>
    <w:p>
      <w:pPr>
        <w:pStyle w:val="Normal"/>
        <w:numPr>
          <w:ilvl w:val="0"/>
          <w:numId w:val="2"/>
        </w:numPr>
        <w:rPr>
          <w:sz w:val="20"/>
        </w:rPr>
      </w:pPr>
      <w:r>
        <w:rPr>
          <w:sz w:val="20"/>
        </w:rPr>
        <w:t xml:space="preserve">Business action on global emissions – </w:t>
      </w:r>
      <w:r>
        <w:rPr>
          <w:i/>
          <w:iCs/>
          <w:sz w:val="20"/>
        </w:rPr>
        <w:t>what are others doing and why</w:t>
      </w:r>
    </w:p>
    <w:p>
      <w:pPr>
        <w:pStyle w:val="Normal"/>
        <w:numPr>
          <w:ilvl w:val="0"/>
          <w:numId w:val="2"/>
        </w:numPr>
        <w:rPr>
          <w:sz w:val="20"/>
        </w:rPr>
      </w:pPr>
      <w:r>
        <w:rPr>
          <w:sz w:val="20"/>
        </w:rPr>
        <w:t xml:space="preserve">Increasing shareholder value – </w:t>
      </w:r>
      <w:r>
        <w:rPr>
          <w:i/>
          <w:iCs/>
          <w:sz w:val="20"/>
        </w:rPr>
        <w:t>what is at stake</w:t>
      </w:r>
    </w:p>
    <w:p>
      <w:pPr>
        <w:pStyle w:val="Normal"/>
        <w:numPr>
          <w:ilvl w:val="0"/>
          <w:numId w:val="2"/>
        </w:numPr>
        <w:rPr>
          <w:sz w:val="20"/>
        </w:rPr>
      </w:pPr>
      <w:r>
        <w:rPr>
          <w:sz w:val="20"/>
        </w:rPr>
        <w:t>Enron commercial units outlook for emissions-related business opportunities/risks</w:t>
      </w:r>
    </w:p>
    <w:p>
      <w:pPr>
        <w:pStyle w:val="Normal"/>
        <w:numPr>
          <w:ilvl w:val="0"/>
          <w:numId w:val="2"/>
        </w:numPr>
        <w:rPr>
          <w:sz w:val="20"/>
        </w:rPr>
      </w:pPr>
      <w:r>
        <w:rPr>
          <w:sz w:val="20"/>
        </w:rPr>
        <w:t>Policy options and market opportunities</w:t>
      </w:r>
    </w:p>
    <w:p>
      <w:pPr>
        <w:pStyle w:val="Normal"/>
        <w:rPr>
          <w:sz w:val="20"/>
        </w:rPr>
      </w:pPr>
      <w:r>
        <w:rPr>
          <w:sz w:val="20"/>
        </w:rPr>
      </w:r>
    </w:p>
    <w:p>
      <w:pPr>
        <w:pStyle w:val="BodyText3"/>
        <w:rPr/>
      </w:pPr>
      <w:r>
        <w:rPr/>
        <w:t xml:space="preserve">We hope you will be able to participate in this session.  </w:t>
      </w:r>
      <w:r>
        <w:rPr>
          <w:b/>
          <w:bCs/>
        </w:rPr>
        <w:t>Please respond to Lisa Jacobson regarding your availability as soon as possible so arrangements for the meeting can be finalized</w:t>
      </w:r>
      <w:r>
        <w:rPr/>
        <w:t xml:space="preserve"> (</w:t>
      </w:r>
      <w:hyperlink r:id="rId2">
        <w:r>
          <w:rPr>
            <w:rStyle w:val="Hyperlink"/>
          </w:rPr>
          <w:t>lisa.jacobson@enron.com</w:t>
        </w:r>
      </w:hyperlink>
      <w:r>
        <w:rPr/>
        <w:t xml:space="preserve"> or by phone at 202-466-9176).  </w:t>
      </w:r>
    </w:p>
    <w:p>
      <w:pPr>
        <w:pStyle w:val="Normal"/>
        <w:autoSpaceDE w:val="false"/>
        <w:spacing w:lineRule="atLeast" w:line="240"/>
        <w:rPr/>
      </w:pPr>
      <w:r>
        <w:rPr/>
      </w:r>
    </w:p>
    <w:sectPr>
      <w:type w:val="nextPage"/>
      <w:pgSz w:w="12240" w:h="15840"/>
      <w:pgMar w:left="1440" w:right="1440" w:gutter="0" w:header="0" w:top="1440" w:footer="0" w:bottom="720"/>
      <w:pgBorders w:display="allPages" w:offsetFrom="page">
        <w:top w:val="double" w:sz="18" w:space="24" w:color="000000"/>
        <w:left w:val="double" w:sz="18" w:space="24" w:color="000000"/>
        <w:bottom w:val="double" w:sz="18" w:space="24" w:color="000000"/>
        <w:right w:val="double" w:sz="18" w:space="24"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3">
    <w:name w:val="heading 3"/>
    <w:basedOn w:val="Normal"/>
    <w:next w:val="Normal"/>
    <w:qFormat/>
    <w:pPr>
      <w:keepNext w:val="true"/>
      <w:numPr>
        <w:ilvl w:val="2"/>
        <w:numId w:val="1"/>
      </w:numPr>
      <w:outlineLvl w:val="2"/>
    </w:pPr>
    <w:rPr>
      <w:b/>
      <w:bCs/>
      <w:sz w:val="20"/>
    </w:rPr>
  </w:style>
  <w:style w:type="paragraph" w:styleId="Heading4">
    <w:name w:val="heading 4"/>
    <w:basedOn w:val="Normal"/>
    <w:next w:val="Normal"/>
    <w:qFormat/>
    <w:pPr>
      <w:keepNext w:val="true"/>
      <w:numPr>
        <w:ilvl w:val="3"/>
        <w:numId w:val="1"/>
      </w:numPr>
      <w:ind w:firstLine="720" w:start="0" w:end="0"/>
      <w:outlineLvl w:val="3"/>
    </w:pPr>
    <w:rPr>
      <w:b/>
      <w:bCs/>
      <w:sz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Times New Roman" w:hAnsi="Times New Roman" w:eastAsia="Times New Roman" w:cs="Times New Roman"/>
    </w:rPr>
  </w:style>
  <w:style w:type="character" w:styleId="WW8Num6z5">
    <w:name w:val="WW8Num6z5"/>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z w:val="20"/>
    </w:rPr>
  </w:style>
  <w:style w:type="paragraph" w:styleId="BodyText2">
    <w:name w:val="Body Text 2"/>
    <w:basedOn w:val="Normal"/>
    <w:qFormat/>
    <w:pPr/>
    <w:rPr>
      <w:b/>
      <w:bCs/>
    </w:rPr>
  </w:style>
  <w:style w:type="paragraph" w:styleId="BodyText3">
    <w:name w:val="Body Text 3"/>
    <w:basedOn w:val="Normal"/>
    <w:qFormat/>
    <w:pPr>
      <w:autoSpaceDE w:val="false"/>
      <w:spacing w:lineRule="atLeast" w:line="240"/>
    </w:pPr>
    <w:rPr>
      <w:color w:val="000000"/>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isa.jacobson@enron.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2001-05-02T12:39:00Z</dcterms:created>
  <dc:creator>ljacobso</dc:creator>
  <dc:description/>
  <dc:language>en-CA</dc:language>
  <cp:lastModifiedBy>ljacobso</cp:lastModifiedBy>
  <cp:lastPrinted>2001-05-02T11:09:00Z</cp:lastPrinted>
  <dcterms:modified xsi:type="dcterms:W3CDTF">2001-05-02T12:54:00Z</dcterms:modified>
  <cp:revision>7</cp:revision>
  <dc:subject/>
  <dc:title>Enviornmental Strategies is convening a briefing for business units on the policy landscape and business opportunities associa</dc:title>
</cp:coreProperties>
</file>