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Mary Nell and Ted,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discussed, attached is an individual Master Log for: (a) ECTRIC, (b) EFET and (c) Enron Credit.  Each log was based on Houston’s Termination Log as of 2-11-02.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reviewing the respective Master Logs you will notice that: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the attached ECTRIC &amp; EFET Master Logs include some of the same entries -- because the termination letter may have related to each; </w:t>
      </w:r>
    </w:p>
    <w:p>
      <w:pPr>
        <w:pStyle w:val="Normal"/>
        <w:numPr>
          <w:ilvl w:val="0"/>
          <w:numId w:val="1"/>
        </w:numPr>
        <w:rPr/>
      </w:pPr>
      <w:r>
        <w:rPr/>
        <w:t>each of the attached Master Logs include some counterparties as represented on the London office report entitled “</w:t>
      </w:r>
      <w:r>
        <w:rPr>
          <w:u w:val="single"/>
        </w:rPr>
        <w:t>Schedule of Claims, as of the week commencing 2-4-02</w:t>
      </w:r>
      <w:r>
        <w:rPr/>
        <w:t xml:space="preserve">” – because in many cases the Enron entity was not included in such schedule; and 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 </w:t>
      </w:r>
      <w:r>
        <w:rPr/>
        <w:t>therefore, in accordance with the “Tab No.” reference used in London’s Schedule of Claims the following counterparties are included in one or more of the attached Master Logs: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Tab No.</w:t>
      </w:r>
    </w:p>
    <w:p>
      <w:pPr>
        <w:pStyle w:val="Normal"/>
        <w:ind w:start="72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start="720" w:end="0"/>
        <w:jc w:val="center"/>
        <w:rPr/>
      </w:pPr>
      <w:r>
        <w:rPr/>
        <w:t>1-3</w:t>
      </w:r>
    </w:p>
    <w:p>
      <w:pPr>
        <w:pStyle w:val="Normal"/>
        <w:ind w:start="720" w:end="0"/>
        <w:jc w:val="center"/>
        <w:rPr/>
      </w:pPr>
      <w:r>
        <w:rPr/>
        <w:t>5-8</w:t>
      </w:r>
    </w:p>
    <w:p>
      <w:pPr>
        <w:pStyle w:val="Normal"/>
        <w:ind w:start="720" w:end="0"/>
        <w:jc w:val="center"/>
        <w:rPr/>
      </w:pPr>
      <w:r>
        <w:rPr/>
        <w:t>14-16B</w:t>
      </w:r>
    </w:p>
    <w:p>
      <w:pPr>
        <w:pStyle w:val="Normal"/>
        <w:ind w:start="720" w:end="0"/>
        <w:jc w:val="center"/>
        <w:rPr/>
      </w:pPr>
      <w:r>
        <w:rPr/>
        <w:t>19</w:t>
      </w:r>
    </w:p>
    <w:p>
      <w:pPr>
        <w:pStyle w:val="Normal"/>
        <w:ind w:start="720" w:end="0"/>
        <w:jc w:val="center"/>
        <w:rPr/>
      </w:pPr>
      <w:r>
        <w:rPr/>
        <w:t>21&amp; 22</w:t>
      </w:r>
    </w:p>
    <w:p>
      <w:pPr>
        <w:pStyle w:val="Normal"/>
        <w:ind w:start="720" w:end="0"/>
        <w:jc w:val="center"/>
        <w:rPr/>
      </w:pPr>
      <w:r>
        <w:rPr/>
        <w:t>27 &amp;28</w:t>
      </w:r>
    </w:p>
    <w:p>
      <w:pPr>
        <w:pStyle w:val="Normal"/>
        <w:ind w:start="720" w:end="0"/>
        <w:jc w:val="center"/>
        <w:rPr/>
      </w:pPr>
      <w:r>
        <w:rPr/>
        <w:t>31-40</w:t>
      </w:r>
    </w:p>
    <w:p>
      <w:pPr>
        <w:pStyle w:val="Normal"/>
        <w:ind w:start="720" w:end="0"/>
        <w:jc w:val="center"/>
        <w:rPr/>
      </w:pPr>
      <w:r>
        <w:rPr/>
        <w:t>41 (Nordea Bank Finland Plc)</w:t>
      </w:r>
    </w:p>
    <w:p>
      <w:pPr>
        <w:pStyle w:val="Normal"/>
        <w:ind w:start="720" w:end="0"/>
        <w:jc w:val="center"/>
        <w:rPr/>
      </w:pPr>
      <w:r>
        <w:rPr/>
        <w:t>42</w:t>
      </w:r>
    </w:p>
    <w:p>
      <w:pPr>
        <w:pStyle w:val="Normal"/>
        <w:ind w:start="720" w:end="0"/>
        <w:jc w:val="center"/>
        <w:rPr/>
      </w:pPr>
      <w:r>
        <w:rPr/>
        <w:t>44</w:t>
      </w:r>
    </w:p>
    <w:p>
      <w:pPr>
        <w:pStyle w:val="Normal"/>
        <w:ind w:start="720" w:end="0"/>
        <w:jc w:val="center"/>
        <w:rPr/>
      </w:pPr>
      <w:r>
        <w:rPr/>
        <w:t>47-50</w:t>
      </w:r>
    </w:p>
    <w:p>
      <w:pPr>
        <w:pStyle w:val="Normal"/>
        <w:ind w:start="720" w:end="0"/>
        <w:jc w:val="center"/>
        <w:rPr/>
      </w:pPr>
      <w:r>
        <w:rPr/>
        <w:t>52-54</w:t>
      </w:r>
    </w:p>
    <w:p>
      <w:pPr>
        <w:pStyle w:val="Normal"/>
        <w:ind w:start="720" w:end="0"/>
        <w:jc w:val="center"/>
        <w:rPr/>
      </w:pPr>
      <w:r>
        <w:rPr/>
        <w:t>72</w:t>
      </w:r>
    </w:p>
    <w:p>
      <w:pPr>
        <w:pStyle w:val="Normal"/>
        <w:ind w:start="720" w:end="0"/>
        <w:jc w:val="center"/>
        <w:rPr/>
      </w:pPr>
      <w:r>
        <w:rPr/>
        <w:t>79-84</w:t>
      </w:r>
    </w:p>
    <w:p>
      <w:pPr>
        <w:pStyle w:val="Normal"/>
        <w:ind w:start="720" w:end="0"/>
        <w:jc w:val="center"/>
        <w:rPr/>
      </w:pPr>
      <w:r>
        <w:rPr/>
        <w:t>88-90</w:t>
      </w:r>
    </w:p>
    <w:p>
      <w:pPr>
        <w:pStyle w:val="Normal"/>
        <w:ind w:start="720" w:end="0"/>
        <w:jc w:val="center"/>
        <w:rPr/>
      </w:pPr>
      <w:r>
        <w:rPr/>
        <w:t>99</w:t>
      </w:r>
    </w:p>
    <w:p>
      <w:pPr>
        <w:pStyle w:val="Normal"/>
        <w:ind w:start="720" w:end="0"/>
        <w:jc w:val="center"/>
        <w:rPr/>
      </w:pPr>
      <w:r>
        <w:rPr/>
        <w:t>106</w:t>
      </w:r>
    </w:p>
    <w:p>
      <w:pPr>
        <w:pStyle w:val="Normal"/>
        <w:ind w:start="720" w:end="0"/>
        <w:jc w:val="center"/>
        <w:rPr/>
      </w:pPr>
      <w:r>
        <w:rPr/>
        <w:t>109</w:t>
      </w:r>
    </w:p>
    <w:p>
      <w:pPr>
        <w:pStyle w:val="Normal"/>
        <w:ind w:start="720" w:end="0"/>
        <w:jc w:val="center"/>
        <w:rPr/>
      </w:pPr>
      <w:r>
        <w:rPr/>
        <w:t>116</w:t>
      </w:r>
    </w:p>
    <w:p>
      <w:pPr>
        <w:pStyle w:val="Normal"/>
        <w:ind w:start="720" w:end="0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2002-02-12T15:37:00Z</dcterms:created>
  <dc:creator>Susan Bailey</dc:creator>
  <dc:description/>
  <dc:language>en-CA</dc:language>
  <cp:lastModifiedBy>Susan Bailey</cp:lastModifiedBy>
  <dcterms:modified xsi:type="dcterms:W3CDTF">2002-02-12T17:22:00Z</dcterms:modified>
  <cp:revision>2</cp:revision>
  <dc:subject/>
  <dc:title>As discussed, attached is an individual Master Log for: (a) ECTRIC, (b) EFET and (c) Enron Credit</dc:title>
</cp:coreProperties>
</file>