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EP DRAFT OF </w:t>
      </w:r>
      <w:del w:id="0" w:author="adavis4" w:date="2000-12-04T17:53:00Z">
        <w:r>
          <w:rPr/>
          <w:delText>12-4/2000</w:delText>
        </w:r>
      </w:del>
      <w:ins w:id="1" w:author="adavis4" w:date="2000-12-04T17:53:00Z">
        <w:r>
          <w:rPr/>
          <w:t>12/4/2000</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 ____, 2000</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pPr>
            <w:r>
              <w:rPr>
                <w:b/>
                <w:bCs/>
                <w:caps/>
                <w:sz w:val="22"/>
                <w:szCs w:val="22"/>
              </w:rPr>
              <w:t>Mesquite investors, L.L.C.</w:t>
            </w:r>
            <w:r>
              <w:rPr>
                <w:b/>
                <w:bCs/>
                <w:sz w:val="22"/>
                <w:szCs w:val="22"/>
              </w:rPr>
              <w:t>, a limited liability company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El paso merchant energy-gas, L.P.,</w:t>
            </w:r>
            <w:r>
              <w:rPr>
                <w:b/>
                <w:bCs/>
                <w:sz w:val="22"/>
                <w:szCs w:val="22"/>
              </w:rPr>
              <w:t xml:space="preserve">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numPr>
          <w:ilvl w:val="0"/>
          <w:numId w:val="4"/>
        </w:numPr>
        <w:tabs>
          <w:tab w:val="clear" w:pos="720"/>
        </w:tabs>
        <w:spacing w:lineRule="exact" w:line="240" w:before="240" w:after="0"/>
        <w:ind w:hanging="720" w:start="720" w:end="0"/>
        <w:jc w:val="both"/>
        <w:rPr>
          <w:sz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hanging="720" w:start="720" w:end="0"/>
        <w:jc w:val="both"/>
        <w:rPr>
          <w:strike/>
          <w:sz w:val="22"/>
          <w:highlight w:val="green"/>
        </w:rPr>
      </w:pPr>
      <w:r>
        <w:rPr>
          <w:b/>
          <w:sz w:val="22"/>
        </w:rPr>
        <w:t>(b)</w:t>
        <w:tab/>
        <w:t>"Specified Transaction"</w:t>
      </w:r>
      <w:r>
        <w:rPr>
          <w:sz w:val="22"/>
        </w:rPr>
        <w:t xml:space="preserve"> means only that certain Confirmation (Swap) dated December    , 2000 between Party A and Party B.</w:t>
      </w:r>
    </w:p>
    <w:p>
      <w:pPr>
        <w:pStyle w:val="Normal"/>
        <w:spacing w:lineRule="exact" w:line="240" w:before="240" w:after="0"/>
        <w:ind w:hanging="720" w:start="720" w:end="0"/>
        <w:jc w:val="both"/>
        <w:rPr/>
      </w:pPr>
      <w:r>
        <w:rPr>
          <w:sz w:val="22"/>
          <w:szCs w:val="22"/>
        </w:rPr>
        <w:t>(c)</w:t>
        <w:tab/>
        <w:t>The “</w:t>
      </w:r>
      <w:r>
        <w:rPr>
          <w:b/>
          <w:bCs/>
          <w:sz w:val="22"/>
          <w:szCs w:val="22"/>
        </w:rPr>
        <w:t>Cross Default” provisions of Section 5(a)(vi) of this Agreement will</w:t>
      </w:r>
      <w:r>
        <w:rPr>
          <w:sz w:val="22"/>
          <w:szCs w:val="22"/>
        </w:rPr>
        <w:t xml:space="preserve"> not apply to Party B, but will apply to Party B’s Credit Support Provider.</w:t>
      </w:r>
    </w:p>
    <w:p>
      <w:pPr>
        <w:pStyle w:val="Normal"/>
        <w:spacing w:lineRule="exact" w:line="240" w:before="240" w:after="0"/>
        <w:ind w:start="1440" w:end="0"/>
        <w:jc w:val="both"/>
        <w:rPr/>
      </w:pPr>
      <w:r>
        <w:rPr>
          <w:b/>
          <w:bCs/>
          <w:sz w:val="22"/>
          <w:szCs w:val="22"/>
        </w:rPr>
        <w:t>“</w:t>
      </w:r>
      <w:r>
        <w:rPr>
          <w:b/>
          <w:bCs/>
          <w:sz w:val="22"/>
          <w:szCs w:val="22"/>
        </w:rPr>
        <w:t>Threshold Amount”</w:t>
      </w:r>
      <w:r>
        <w:rPr>
          <w:sz w:val="22"/>
          <w:szCs w:val="22"/>
        </w:rPr>
        <w:t xml:space="preserve"> means:  with respect to Party B’s Credit Support Provider, U.S. $200,000,000 (or its equivalent in another currency).</w:t>
      </w:r>
    </w:p>
    <w:p>
      <w:pPr>
        <w:pStyle w:val="Normal"/>
        <w:spacing w:lineRule="exact" w:line="240" w:before="240" w:after="0"/>
        <w:ind w:hanging="720" w:start="720" w:end="0"/>
        <w:jc w:val="both"/>
        <w:rPr/>
      </w:pPr>
      <w:r>
        <w:rPr>
          <w:sz w:val="22"/>
          <w:szCs w:val="22"/>
        </w:rPr>
        <w:t>(d)</w:t>
        <w:tab/>
        <w:t xml:space="preserve">The </w:t>
      </w:r>
      <w:r>
        <w:rPr>
          <w:b/>
          <w:bCs/>
          <w:sz w:val="22"/>
          <w:szCs w:val="22"/>
        </w:rPr>
        <w:t>“Credit Event Upon Merger”</w:t>
      </w:r>
      <w:r>
        <w:rPr>
          <w:sz w:val="22"/>
          <w:szCs w:val="22"/>
        </w:rPr>
        <w:t xml:space="preserve"> provisions of Section 5(b)(iv) will apply to Party B; </w:t>
      </w:r>
      <w:r>
        <w:rPr>
          <w:sz w:val="22"/>
        </w:rPr>
        <w:t>provided however, that the phrase “materially weaker” means (i) the unsecured, senior, long-term indebtedness of the resulting, surviving or transferee entity is rated less than investment grade by either Standard &amp; Poor’s Rating Group or Moody’s Investor Service, Inc., or (ii) if no such ratings exist, the Policies (as defined below) in effect at the time, of Party A, would cause Party A, solely as a result of a change in the nature, character, identity or condition of the Party B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individual entities, (2) other limits on conducting business with entities domiciled in certain jurisdictions or engaging in certain activities, or (3) internal restrictions on conducting business with entities with whom such party has had prior adverse business relations.</w:t>
      </w:r>
    </w:p>
    <w:p>
      <w:pPr>
        <w:pStyle w:val="Normal"/>
        <w:spacing w:lineRule="exact" w:line="240" w:before="240" w:after="0"/>
        <w:ind w:hanging="720" w:start="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and will not apply to Party B.</w:t>
      </w:r>
    </w:p>
    <w:p>
      <w:pPr>
        <w:pStyle w:val="Normal"/>
        <w:spacing w:lineRule="exact" w:line="240" w:before="240" w:after="0"/>
        <w:ind w:hanging="720" w:start="720" w:end="0"/>
        <w:jc w:val="both"/>
        <w:rPr/>
      </w:pPr>
      <w:r>
        <w:rPr>
          <w:sz w:val="22"/>
          <w:szCs w:val="22"/>
        </w:rPr>
        <w:t>(f)</w:t>
        <w:tab/>
      </w:r>
      <w:r>
        <w:rPr>
          <w:b/>
          <w:bCs/>
          <w:sz w:val="22"/>
          <w:szCs w:val="22"/>
        </w:rPr>
        <w:t>Payments on Early Termination.</w:t>
      </w:r>
      <w:r>
        <w:rPr>
          <w:sz w:val="22"/>
          <w:szCs w:val="22"/>
        </w:rPr>
        <w:t xml:space="preserve">  For the purpose of Section 6(e) of the Agreement:</w:t>
      </w:r>
    </w:p>
    <w:p>
      <w:pPr>
        <w:pStyle w:val="BodyTextIndent2"/>
        <w:widowControl/>
        <w:tabs>
          <w:tab w:val="clear" w:pos="1350"/>
          <w:tab w:val="left" w:pos="-450" w:leader="none"/>
        </w:tabs>
        <w:spacing w:lineRule="exact" w:line="240" w:before="240" w:after="0"/>
        <w:ind w:hanging="450" w:start="1170" w:end="0"/>
        <w:rPr>
          <w:rFonts w:ascii="Times New Roman" w:hAnsi="Times New Roman" w:cs="Times New Roman"/>
        </w:rPr>
      </w:pPr>
      <w:r>
        <w:rPr>
          <w:rFonts w:cs="Times New Roman" w:ascii="Times New Roman" w:hAnsi="Times New Roman"/>
        </w:rPr>
        <w:t>(i)</w:t>
        <w:tab/>
        <w:t xml:space="preserve">Loss will apply </w:t>
      </w:r>
    </w:p>
    <w:p>
      <w:pPr>
        <w:pStyle w:val="BodyTextIndent2"/>
        <w:widowControl/>
        <w:tabs>
          <w:tab w:val="clear" w:pos="1350"/>
        </w:tabs>
        <w:spacing w:lineRule="exact" w:line="240" w:before="120" w:after="0"/>
        <w:ind w:hanging="446" w:start="1170" w:end="0"/>
        <w:rPr>
          <w:rFonts w:ascii="Times New Roman" w:hAnsi="Times New Roman" w:cs="Times New Roman"/>
        </w:rPr>
      </w:pPr>
      <w:r>
        <w:rPr>
          <w:rFonts w:cs="Times New Roman" w:ascii="Times New Roman" w:hAnsi="Times New Roman"/>
        </w:rPr>
        <w:t>(ii)</w:t>
        <w:tab/>
        <w:t>The Second Method will apply</w:t>
      </w:r>
    </w:p>
    <w:p>
      <w:pPr>
        <w:pStyle w:val="Normal"/>
        <w:spacing w:lineRule="exact" w:line="240" w:before="240" w:after="0"/>
        <w:ind w:hanging="720" w:start="720" w:end="0"/>
        <w:jc w:val="both"/>
        <w:rPr/>
      </w:pPr>
      <w:r>
        <w:rPr>
          <w:sz w:val="22"/>
          <w:szCs w:val="22"/>
        </w:rPr>
        <w:t>(g)</w:t>
        <w:tab/>
      </w:r>
      <w:r>
        <w:rPr>
          <w:b/>
          <w:bCs/>
          <w:sz w:val="22"/>
          <w:szCs w:val="22"/>
        </w:rPr>
        <w:t>“Termination Currency”</w:t>
      </w:r>
      <w:r>
        <w:rPr>
          <w:sz w:val="22"/>
          <w:szCs w:val="22"/>
        </w:rPr>
        <w:t xml:space="preserve"> means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limited liability company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limited partnership organized under the laws of the State of Delaware.</w:t>
      </w:r>
    </w:p>
    <w:p>
      <w:pPr>
        <w:pStyle w:val="Heading4"/>
        <w:spacing w:before="240" w:after="0"/>
        <w:ind w:hanging="0" w:start="0"/>
        <w:rPr/>
      </w:pPr>
      <w:r>
        <w:rPr/>
        <w:t>Part 3.</w:t>
        <w:tab/>
        <w:t>Agreement to Deliver Documents</w:t>
      </w:r>
    </w:p>
    <w:p>
      <w:pPr>
        <w:pStyle w:val="Normal"/>
        <w:spacing w:lineRule="exact" w:line="240" w:before="240" w:after="0"/>
        <w:ind w:start="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hanging="720" w:start="720" w:end="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10080" w:type="dxa"/>
        <w:jc w:val="start"/>
        <w:tblInd w:w="-144" w:type="dxa"/>
        <w:tblLayout w:type="fixed"/>
        <w:tblCellMar>
          <w:top w:w="0" w:type="dxa"/>
          <w:start w:w="216" w:type="dxa"/>
          <w:bottom w:w="0" w:type="dxa"/>
          <w:end w:w="216" w:type="dxa"/>
        </w:tblCellMar>
      </w:tblPr>
      <w:tblGrid>
        <w:gridCol w:w="1981"/>
        <w:gridCol w:w="3886"/>
        <w:gridCol w:w="2228"/>
        <w:gridCol w:w="1985"/>
      </w:tblGrid>
      <w:tr>
        <w:trPr>
          <w:tblHeader w:val="true"/>
        </w:trPr>
        <w:tc>
          <w:tcPr>
            <w:tcW w:w="1981"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981"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resolutions of each party’s and its Credit Support Provider’s (if any) board of directors (or other governing body)</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the form of Exhibit B</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No</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numPr>
          <w:ilvl w:val="0"/>
          <w:numId w:val="5"/>
        </w:numPr>
        <w:spacing w:lineRule="exact" w:line="240" w:before="240" w:after="0"/>
        <w:jc w:val="both"/>
        <w:rPr>
          <w:sz w:val="22"/>
          <w:szCs w:val="22"/>
        </w:rPr>
      </w:pP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 </w:t>
      </w:r>
    </w:p>
    <w:p>
      <w:pPr>
        <w:pStyle w:val="Normal"/>
        <w:spacing w:lineRule="exact" w:line="240" w:before="240" w:after="0"/>
        <w:ind w:start="360" w:end="0"/>
        <w:jc w:val="both"/>
        <w:rPr>
          <w:b/>
          <w:bCs/>
          <w:sz w:val="22"/>
          <w:szCs w:val="22"/>
        </w:rPr>
      </w:pPr>
      <w:r>
        <w:rPr>
          <w:b/>
          <w:bCs/>
          <w:sz w:val="22"/>
          <w:szCs w:val="22"/>
        </w:rPr>
      </w:r>
    </w:p>
    <w:p>
      <w:pPr>
        <w:pStyle w:val="Normal"/>
        <w:spacing w:lineRule="exact" w:line="240" w:before="240" w:after="0"/>
        <w:ind w:start="360" w:end="0"/>
        <w:jc w:val="both"/>
        <w:rPr>
          <w:b/>
          <w:bCs/>
          <w:sz w:val="22"/>
          <w:szCs w:val="22"/>
        </w:rPr>
      </w:pPr>
      <w:r>
        <w:rPr>
          <w:b/>
          <w:bCs/>
          <w:sz w:val="22"/>
          <w:szCs w:val="22"/>
        </w:rPr>
      </w:r>
    </w:p>
    <w:p>
      <w:pPr>
        <w:pStyle w:val="Normal"/>
        <w:spacing w:lineRule="exact" w:line="240" w:before="240" w:after="0"/>
        <w:ind w:hanging="360" w:start="360" w:end="0"/>
        <w:jc w:val="both"/>
        <w:rPr>
          <w:b/>
          <w:bCs/>
          <w:sz w:val="22"/>
          <w:szCs w:val="22"/>
        </w:rPr>
      </w:pPr>
      <w:r>
        <w:rPr>
          <w:b/>
          <w:bCs/>
          <w:sz w:val="22"/>
          <w:szCs w:val="22"/>
        </w:rPr>
        <w:t>Address for notices or communications to Party A:</w:t>
      </w:r>
    </w:p>
    <w:p>
      <w:pPr>
        <w:pStyle w:val="Normal"/>
        <w:spacing w:lineRule="exact" w:line="240" w:before="240" w:after="0"/>
        <w:ind w:start="360" w:end="0"/>
        <w:jc w:val="both"/>
        <w:rPr>
          <w:b/>
          <w:bCs/>
          <w:sz w:val="22"/>
          <w:szCs w:val="22"/>
        </w:rPr>
      </w:pPr>
      <w:r>
        <w:rPr>
          <w:b/>
          <w:bCs/>
          <w:sz w:val="22"/>
          <w:szCs w:val="22"/>
        </w:rPr>
      </w:r>
    </w:p>
    <w:tbl>
      <w:tblPr>
        <w:tblW w:w="6318" w:type="dxa"/>
        <w:jc w:val="start"/>
        <w:tblInd w:w="0" w:type="dxa"/>
        <w:tblLayout w:type="fixed"/>
        <w:tblCellMar>
          <w:top w:w="0" w:type="dxa"/>
          <w:start w:w="108" w:type="dxa"/>
          <w:bottom w:w="0" w:type="dxa"/>
          <w:end w:w="108" w:type="dxa"/>
        </w:tblCellMar>
      </w:tblPr>
      <w:tblGrid>
        <w:gridCol w:w="2088"/>
        <w:gridCol w:w="4230"/>
      </w:tblGrid>
      <w:tr>
        <w:trPr/>
        <w:tc>
          <w:tcPr>
            <w:tcW w:w="2088" w:type="dxa"/>
            <w:tcBorders/>
          </w:tcPr>
          <w:p>
            <w:pPr>
              <w:pStyle w:val="Normal"/>
              <w:rPr>
                <w:sz w:val="22"/>
              </w:rPr>
            </w:pPr>
            <w:r>
              <w:rPr>
                <w:sz w:val="22"/>
              </w:rPr>
              <w:t xml:space="preserve">Address: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Attention:  </w:t>
            </w:r>
          </w:p>
          <w:p>
            <w:pPr>
              <w:pStyle w:val="Normal"/>
              <w:rPr>
                <w:sz w:val="22"/>
                <w:szCs w:val="22"/>
              </w:rPr>
            </w:pPr>
            <w:r>
              <w:rPr>
                <w:sz w:val="22"/>
                <w:szCs w:val="22"/>
              </w:rPr>
            </w:r>
          </w:p>
          <w:p>
            <w:pPr>
              <w:pStyle w:val="Normal"/>
              <w:rPr>
                <w:sz w:val="22"/>
                <w:szCs w:val="22"/>
              </w:rPr>
            </w:pPr>
            <w:r>
              <w:rPr>
                <w:sz w:val="22"/>
                <w:szCs w:val="22"/>
              </w:rPr>
              <w:t>Facsimile No.:</w:t>
            </w:r>
          </w:p>
          <w:p>
            <w:pPr>
              <w:pStyle w:val="BodyText"/>
              <w:widowControl/>
              <w:rPr/>
            </w:pPr>
            <w:r>
              <w:rPr/>
              <w:t>Telephone No.:</w:t>
            </w:r>
          </w:p>
          <w:p>
            <w:pPr>
              <w:pStyle w:val="Normal"/>
              <w:rPr>
                <w:sz w:val="22"/>
                <w:szCs w:val="22"/>
              </w:rPr>
            </w:pPr>
            <w:r>
              <w:rPr>
                <w:sz w:val="22"/>
                <w:szCs w:val="22"/>
              </w:rPr>
            </w:r>
          </w:p>
          <w:p>
            <w:pPr>
              <w:pStyle w:val="BodyText"/>
              <w:widowControl/>
              <w:rPr>
                <w:sz w:val="22"/>
                <w:szCs w:val="22"/>
              </w:rPr>
            </w:pPr>
            <w:r>
              <w:rPr>
                <w:sz w:val="22"/>
                <w:szCs w:val="22"/>
              </w:rPr>
            </w:r>
          </w:p>
        </w:tc>
        <w:tc>
          <w:tcPr>
            <w:tcW w:w="423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Mesquite Investors, L.L.C..</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jc w:val="start"/>
              <w:rPr>
                <w:rFonts w:ascii="Times New Roman" w:hAnsi="Times New Roman" w:cs="Times New Roman"/>
                <w:u w:val="single"/>
              </w:rPr>
            </w:pPr>
            <w:r>
              <w:rPr>
                <w:rFonts w:cs="Times New Roman" w:ascii="Times New Roman" w:hAnsi="Times New Roman"/>
              </w:rPr>
              <w:t>1001 Louisiana Street</w:t>
            </w:r>
          </w:p>
          <w:p>
            <w:pPr>
              <w:pStyle w:val="Normal"/>
              <w:keepNext w:val="true"/>
              <w:tabs>
                <w:tab w:val="clear" w:pos="720"/>
                <w:tab w:val="left" w:pos="2070" w:leader="none"/>
              </w:tabs>
              <w:spacing w:before="0" w:after="120"/>
              <w:ind w:hanging="2880" w:start="2880" w:end="0"/>
              <w:jc w:val="both"/>
              <w:rPr/>
            </w:pPr>
            <w:r>
              <w:rPr/>
              <w:t xml:space="preserve">Houston, Texas 77002 </w:t>
            </w:r>
          </w:p>
          <w:p>
            <w:pPr>
              <w:pStyle w:val="Normal"/>
              <w:keepNext w:val="true"/>
              <w:tabs>
                <w:tab w:val="clear" w:pos="720"/>
                <w:tab w:val="left" w:pos="2070" w:leader="none"/>
              </w:tabs>
              <w:spacing w:before="0" w:after="120"/>
              <w:ind w:hanging="2880" w:start="2880" w:end="0"/>
              <w:jc w:val="both"/>
              <w:rPr>
                <w:sz w:val="22"/>
              </w:rPr>
            </w:pPr>
            <w:r>
              <w:rPr>
                <w:sz w:val="22"/>
              </w:rPr>
              <w:t>Contract Services-Financial</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(713) 420-7577</w:t>
            </w:r>
          </w:p>
          <w:p>
            <w:pPr>
              <w:pStyle w:val="Justified"/>
              <w:widowControl/>
              <w:tabs>
                <w:tab w:val="clear" w:pos="720"/>
                <w:tab w:val="left" w:pos="4230" w:leader="none"/>
                <w:tab w:val="left" w:pos="9360" w:leader="none"/>
              </w:tabs>
              <w:spacing w:lineRule="exact" w:line="240" w:before="120" w:after="0"/>
              <w:rPr>
                <w:rFonts w:ascii="Times New Roman" w:hAnsi="Times New Roman" w:cs="Times New Roman"/>
              </w:rPr>
            </w:pPr>
            <w:r>
              <w:rPr>
                <w:rFonts w:cs="Times New Roman" w:ascii="Times New Roman" w:hAnsi="Times New Roman"/>
              </w:rPr>
              <w:t>(713) 420-3548</w:t>
            </w:r>
            <w:r>
              <w:rPr/>
              <w:t xml:space="preserve"> </w:t>
            </w:r>
          </w:p>
          <w:p>
            <w:pPr>
              <w:pStyle w:val="Heading2"/>
              <w:spacing w:before="0" w:after="240"/>
              <w:ind w:hanging="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before="120" w:after="0"/>
        <w:ind w:hanging="720" w:start="720" w:end="0"/>
        <w:jc w:val="both"/>
        <w:rPr>
          <w:b/>
          <w:bCs/>
          <w:sz w:val="22"/>
          <w:szCs w:val="22"/>
        </w:rPr>
      </w:pPr>
      <w:r>
        <w:rPr>
          <w:b/>
          <w:bCs/>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b/>
          <w:bCs/>
          <w:sz w:val="22"/>
          <w:szCs w:val="22"/>
        </w:rPr>
      </w:pPr>
      <w:r>
        <w:rPr>
          <w:b/>
          <w:bCs/>
          <w:sz w:val="22"/>
          <w:szCs w:val="22"/>
        </w:rPr>
      </w:r>
    </w:p>
    <w:p>
      <w:pPr>
        <w:pStyle w:val="BodyTextIndent"/>
        <w:tabs>
          <w:tab w:val="clear" w:pos="720"/>
          <w:tab w:val="left" w:pos="2070" w:leader="none"/>
        </w:tabs>
        <w:spacing w:before="0" w:after="120"/>
        <w:ind w:hanging="2070" w:start="2070" w:end="0"/>
        <w:jc w:val="start"/>
        <w:rPr/>
      </w:pPr>
      <w:r>
        <w:rPr/>
        <w:t>Address:</w:t>
        <w:tab/>
        <w:t>El Paso Merchant Energy-Gas, L.P.</w:t>
        <w:br/>
        <w:t>1001 Louisiana Street</w:t>
        <w:br/>
        <w:t>Houston, Texas  77002</w:t>
      </w:r>
    </w:p>
    <w:p>
      <w:pPr>
        <w:pStyle w:val="Normal"/>
        <w:keepNext w:val="true"/>
        <w:tabs>
          <w:tab w:val="clear" w:pos="720"/>
          <w:tab w:val="left" w:pos="2070" w:leader="none"/>
        </w:tabs>
        <w:ind w:hanging="2880" w:start="2880" w:end="0"/>
        <w:jc w:val="both"/>
        <w:rPr>
          <w:sz w:val="22"/>
        </w:rPr>
      </w:pPr>
      <w:r>
        <w:rPr>
          <w:sz w:val="22"/>
        </w:rPr>
        <w:t>Attention:</w:t>
        <w:tab/>
        <w:t>Risk Management (Derivative Confirmations Only)</w:t>
      </w:r>
    </w:p>
    <w:p>
      <w:pPr>
        <w:pStyle w:val="Normal"/>
        <w:keepNext w:val="true"/>
        <w:tabs>
          <w:tab w:val="clear" w:pos="720"/>
          <w:tab w:val="left" w:pos="2070" w:leader="none"/>
        </w:tabs>
        <w:spacing w:before="0" w:after="120"/>
        <w:ind w:hanging="2880" w:start="2880" w:end="0"/>
        <w:jc w:val="both"/>
        <w:rPr>
          <w:sz w:val="22"/>
        </w:rPr>
      </w:pPr>
      <w:r>
        <w:rPr>
          <w:sz w:val="22"/>
        </w:rPr>
        <w:tab/>
        <w:t>Contract Services-Financial (All Other Documentation)</w:t>
      </w:r>
    </w:p>
    <w:p>
      <w:pPr>
        <w:pStyle w:val="Normal"/>
        <w:keepNext w:val="true"/>
        <w:tabs>
          <w:tab w:val="clear" w:pos="720"/>
          <w:tab w:val="left" w:pos="2070" w:leader="none"/>
        </w:tabs>
        <w:spacing w:before="0" w:after="120"/>
        <w:ind w:hanging="2070" w:start="2070" w:end="0"/>
        <w:rPr>
          <w:sz w:val="22"/>
        </w:rPr>
      </w:pPr>
      <w:r>
        <w:rPr>
          <w:sz w:val="22"/>
        </w:rPr>
        <w:t>Facsimile No.:</w:t>
        <w:tab/>
        <w:t>(713) 420-2180 (Derivative Confirmations Only)</w:t>
        <w:br/>
        <w:t>(713) 420-7577 (All Other Documentation)</w:t>
      </w:r>
    </w:p>
    <w:p>
      <w:pPr>
        <w:pStyle w:val="Normal"/>
        <w:keepLines/>
        <w:tabs>
          <w:tab w:val="clear" w:pos="720"/>
          <w:tab w:val="left" w:pos="2070" w:leader="none"/>
        </w:tabs>
        <w:ind w:hanging="2880" w:start="2880" w:end="0"/>
        <w:rPr>
          <w:sz w:val="22"/>
        </w:rPr>
      </w:pPr>
      <w:r>
        <w:rPr>
          <w:sz w:val="22"/>
        </w:rPr>
        <w:t>Telephone No.:</w:t>
        <w:tab/>
        <w:t>(713) 420-3415 (Derivative Confirmations Only)</w:t>
      </w:r>
    </w:p>
    <w:p>
      <w:pPr>
        <w:pStyle w:val="Normal"/>
        <w:keepNext w:val="true"/>
        <w:tabs>
          <w:tab w:val="clear" w:pos="720"/>
          <w:tab w:val="left" w:pos="2070" w:leader="none"/>
        </w:tabs>
        <w:ind w:hanging="2880" w:start="2880" w:end="0"/>
        <w:rPr>
          <w:sz w:val="22"/>
        </w:rPr>
      </w:pPr>
      <w:r>
        <w:rPr>
          <w:sz w:val="22"/>
        </w:rPr>
        <w:tab/>
        <w:t>(713) 420-3548 (All Other Documentation)</w:t>
      </w:r>
    </w:p>
    <w:p>
      <w:pPr>
        <w:pStyle w:val="Normal"/>
        <w:widowControl w:val="false"/>
        <w:jc w:val="both"/>
        <w:rPr>
          <w:sz w:val="22"/>
        </w:rPr>
      </w:pPr>
      <w:r>
        <w:rPr>
          <w:sz w:val="22"/>
        </w:rPr>
      </w:r>
    </w:p>
    <w:p>
      <w:pPr>
        <w:pStyle w:val="Normal"/>
        <w:tabs>
          <w:tab w:val="left" w:pos="-450" w:leader="none"/>
          <w:tab w:val="left" w:pos="720" w:leader="none"/>
          <w:tab w:val="left" w:pos="5472" w:leader="dot"/>
          <w:tab w:val="right" w:pos="9360" w:leader="dot"/>
        </w:tabs>
        <w:spacing w:lineRule="exact" w:line="240" w:before="240" w:after="0"/>
        <w:ind w:hanging="720" w:start="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hanging="720" w:start="720" w:end="0"/>
        <w:jc w:val="both"/>
        <w:rPr>
          <w:sz w:val="22"/>
          <w:szCs w:val="22"/>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El Paso Energy Corporation in favor of Party B as beneficiary thereof in the form attached hereto as </w:t>
      </w:r>
      <w:r>
        <w:rPr>
          <w:sz w:val="22"/>
          <w:szCs w:val="22"/>
          <w:u w:val="single"/>
        </w:rPr>
        <w:t>Exhibit A</w:t>
      </w:r>
    </w:p>
    <w:p>
      <w:pPr>
        <w:pStyle w:val="Normal"/>
        <w:spacing w:lineRule="exact" w:line="240" w:before="240" w:after="0"/>
        <w:ind w:hanging="720" w:start="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El Paso Energy Corporation.</w:t>
      </w:r>
    </w:p>
    <w:p>
      <w:pPr>
        <w:pStyle w:val="Normal"/>
        <w:spacing w:lineRule="exact" w:line="240" w:before="240" w:after="0"/>
        <w:ind w:hanging="720" w:start="720" w:end="0"/>
        <w:jc w:val="both"/>
        <w:rPr/>
      </w:pPr>
      <w:r>
        <w:rPr>
          <w:sz w:val="22"/>
          <w:szCs w:val="22"/>
        </w:rPr>
        <w:t>(f)</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sz w:val="22"/>
          <w:szCs w:val="22"/>
        </w:rPr>
        <w:t>(g)</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del w:id="2" w:author="adavis4" w:date="2000-12-04T17:51:00Z">
        <w:r>
          <w:rPr>
            <w:sz w:val="22"/>
            <w:szCs w:val="22"/>
          </w:rPr>
          <w:delText>Houston, Texas.</w:delText>
        </w:r>
      </w:del>
      <w:ins w:id="3" w:author="adavis4" w:date="2000-12-04T17:53:00Z">
        <w:r>
          <w:rPr>
            <w:sz w:val="22"/>
            <w:szCs w:val="22"/>
          </w:rPr>
          <w:t>New York, New York.</w:t>
        </w:r>
      </w:ins>
      <w:r>
        <w:rPr>
          <w:sz w:val="22"/>
          <w:szCs w:val="22"/>
        </w:rPr>
        <w:t xml:space="preserve">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ind w:hanging="720" w:start="720" w:end="0"/>
        <w:jc w:val="both"/>
        <w:rPr>
          <w:b/>
          <w:bCs/>
          <w:sz w:val="22"/>
          <w:szCs w:val="22"/>
        </w:rPr>
      </w:pPr>
      <w:r>
        <w:rPr>
          <w:sz w:val="22"/>
          <w:szCs w:val="22"/>
        </w:rPr>
        <w:t>(h)</w:t>
        <w:tab/>
      </w:r>
      <w:r>
        <w:rPr>
          <w:b/>
          <w:bCs/>
          <w:sz w:val="22"/>
          <w:szCs w:val="22"/>
        </w:rPr>
        <w:t>Set-off</w:t>
      </w:r>
      <w:r>
        <w:rPr>
          <w:sz w:val="22"/>
          <w:szCs w:val="22"/>
        </w:rPr>
        <w:t>.  Without affecting or prejudicing the provisions of this Agreement requiring the calculation and payment of certain net payment amounts on Scheduled Payment Dates; all payments will be made without setoff or counterclaim.</w:t>
      </w:r>
      <w:r>
        <w:br w:type="page"/>
      </w:r>
    </w:p>
    <w:p>
      <w:pPr>
        <w:pStyle w:val="Normal"/>
        <w:spacing w:lineRule="exact" w:line="240" w:before="120" w:after="0"/>
        <w:jc w:val="both"/>
        <w:rPr>
          <w:b/>
          <w:bCs/>
          <w:sz w:val="22"/>
          <w:szCs w:val="22"/>
        </w:rPr>
      </w:pPr>
      <w:r>
        <w:rPr>
          <w:b/>
          <w:bCs/>
          <w:sz w:val="22"/>
          <w:szCs w:val="22"/>
        </w:rPr>
        <w:t>Part 5.  Other Provisions.</w:t>
      </w:r>
    </w:p>
    <w:p>
      <w:pPr>
        <w:pStyle w:val="Normal"/>
        <w:spacing w:lineRule="exact" w:line="240"/>
        <w:jc w:val="both"/>
        <w:rPr>
          <w:b/>
          <w:bCs/>
          <w:sz w:val="22"/>
          <w:szCs w:val="22"/>
        </w:rPr>
      </w:pPr>
      <w:r>
        <w:rPr>
          <w:b/>
          <w:bCs/>
          <w:sz w:val="22"/>
          <w:szCs w:val="22"/>
        </w:rPr>
      </w:r>
    </w:p>
    <w:p>
      <w:pPr>
        <w:pStyle w:val="Normal"/>
        <w:numPr>
          <w:ilvl w:val="0"/>
          <w:numId w:val="3"/>
        </w:numPr>
        <w:tabs>
          <w:tab w:val="clear" w:pos="720"/>
        </w:tabs>
        <w:spacing w:lineRule="exact" w:line="240"/>
        <w:ind w:hanging="720" w:start="720" w:end="0"/>
        <w:jc w:val="both"/>
        <w:rPr>
          <w:sz w:val="22"/>
          <w:szCs w:val="22"/>
        </w:rPr>
      </w:pPr>
      <w:r>
        <w:rPr>
          <w:b/>
          <w:bCs/>
          <w:sz w:val="22"/>
          <w:szCs w:val="22"/>
        </w:rPr>
        <w:t>Defaults, Termination and Illegality with respect to Party A</w:t>
      </w:r>
      <w:r>
        <w:rPr>
          <w:sz w:val="22"/>
          <w:szCs w:val="22"/>
        </w:rPr>
        <w:t>.  The provisions of Section 5 (a), (b) and (c) shall not apply to Party A.</w:t>
      </w:r>
    </w:p>
    <w:p>
      <w:pPr>
        <w:pStyle w:val="Normal"/>
        <w:spacing w:lineRule="exact" w:line="240"/>
        <w:ind w:start="720" w:end="0"/>
        <w:jc w:val="both"/>
        <w:rPr>
          <w:sz w:val="22"/>
          <w:szCs w:val="22"/>
        </w:rPr>
      </w:pPr>
      <w:r>
        <w:rPr>
          <w:sz w:val="22"/>
          <w:szCs w:val="22"/>
        </w:rPr>
      </w:r>
    </w:p>
    <w:p>
      <w:pPr>
        <w:pStyle w:val="Normal"/>
        <w:widowControl w:val="false"/>
        <w:tabs>
          <w:tab w:val="clear" w:pos="720"/>
          <w:tab w:val="left" w:pos="-540" w:leader="none"/>
        </w:tabs>
        <w:ind w:hanging="720" w:start="720" w:end="0"/>
        <w:jc w:val="both"/>
        <w:rPr/>
      </w:pPr>
      <w:r>
        <w:rPr>
          <w:sz w:val="22"/>
        </w:rPr>
        <w:t>(b)</w:t>
        <w:tab/>
      </w:r>
      <w:r>
        <w:rPr>
          <w:b/>
          <w:sz w:val="22"/>
        </w:rPr>
        <w:t>Absence of Litigation</w:t>
      </w:r>
      <w:r>
        <w:rPr>
          <w:sz w:val="22"/>
        </w:rPr>
        <w:t>.  Section 3(c) of this Agreement is hereby amended by: (i) adding in the second line thereof after the word “governmental” the words “or regulatory” and (ii) adding the words “in any material respect” immediately prior to the end of the section.</w:t>
      </w:r>
    </w:p>
    <w:p>
      <w:pPr>
        <w:pStyle w:val="Normal"/>
        <w:widowControl w:val="false"/>
        <w:jc w:val="both"/>
        <w:rPr>
          <w:sz w:val="22"/>
        </w:rPr>
      </w:pPr>
      <w:r>
        <w:rPr>
          <w:sz w:val="22"/>
        </w:rPr>
      </w:r>
    </w:p>
    <w:p>
      <w:pPr>
        <w:pStyle w:val="Normal"/>
        <w:widowControl w:val="false"/>
        <w:tabs>
          <w:tab w:val="clear" w:pos="720"/>
          <w:tab w:val="left" w:pos="-1080" w:leader="none"/>
        </w:tabs>
        <w:ind w:hanging="720" w:start="720" w:end="0"/>
        <w:jc w:val="both"/>
        <w:rPr/>
      </w:pPr>
      <w:r>
        <w:rPr>
          <w:sz w:val="22"/>
        </w:rPr>
        <w:t>(c)</w:t>
        <w:tab/>
      </w:r>
      <w:r>
        <w:rPr>
          <w:b/>
          <w:sz w:val="22"/>
        </w:rPr>
        <w:t>Accuracy of Specified Information.</w:t>
      </w:r>
      <w:r>
        <w:rPr>
          <w:sz w:val="22"/>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sz w:val="22"/>
        </w:rPr>
        <w:t>(d)</w:t>
        <w:tab/>
      </w:r>
      <w:r>
        <w:rPr>
          <w:b/>
          <w:sz w:val="22"/>
        </w:rPr>
        <w:t>Additional Representations.</w:t>
      </w:r>
      <w:r>
        <w:rPr>
          <w:sz w:val="22"/>
        </w:rPr>
        <w:t xml:space="preserve">  Section 3 of this Agreement is hereby amended by adding at the end thereof the following Subparagraphs (g), (h), (i), and (j):</w:t>
      </w:r>
    </w:p>
    <w:p>
      <w:pPr>
        <w:pStyle w:val="Normal"/>
        <w:widowControl w:val="false"/>
        <w:tabs>
          <w:tab w:val="clear" w:pos="720"/>
          <w:tab w:val="left" w:pos="-1440" w:leader="none"/>
        </w:tabs>
        <w:jc w:val="both"/>
        <w:rPr>
          <w:strike/>
          <w:sz w:val="22"/>
        </w:rPr>
      </w:pPr>
      <w:r>
        <w:rPr>
          <w:strike/>
          <w:sz w:val="22"/>
        </w:rPr>
      </w:r>
    </w:p>
    <w:p>
      <w:pPr>
        <w:pStyle w:val="Normal"/>
        <w:tabs>
          <w:tab w:val="left" w:pos="720" w:leader="none"/>
        </w:tabs>
        <w:ind w:firstLine="720" w:start="720" w:end="0"/>
        <w:jc w:val="both"/>
        <w:rPr/>
      </w:pPr>
      <w:r>
        <w:rPr>
          <w:sz w:val="22"/>
        </w:rPr>
        <w:t xml:space="preserve">(g)  </w:t>
      </w:r>
      <w:r>
        <w:rPr>
          <w:b/>
          <w:sz w:val="22"/>
        </w:rPr>
        <w:t>Line of Business.</w:t>
      </w:r>
      <w:r>
        <w:rPr>
          <w:sz w:val="22"/>
        </w:rPr>
        <w:t xml:space="preserve">  It has entered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val="false"/>
        <w:tabs>
          <w:tab w:val="clear" w:pos="720"/>
          <w:tab w:val="left" w:pos="-1440" w:leader="none"/>
        </w:tabs>
        <w:ind w:start="720" w:end="0"/>
        <w:jc w:val="both"/>
        <w:rPr>
          <w:strike/>
          <w:sz w:val="22"/>
        </w:rPr>
      </w:pPr>
      <w:r>
        <w:rPr>
          <w:strike/>
          <w:sz w:val="22"/>
        </w:rPr>
      </w:r>
    </w:p>
    <w:p>
      <w:pPr>
        <w:pStyle w:val="Normal"/>
        <w:widowControl w:val="false"/>
        <w:tabs>
          <w:tab w:val="left" w:pos="-1440" w:leader="none"/>
          <w:tab w:val="left" w:pos="720" w:leader="none"/>
          <w:tab w:val="left" w:pos="1440" w:leader="none"/>
        </w:tabs>
        <w:ind w:start="720" w:end="0"/>
        <w:jc w:val="both"/>
        <w:rPr/>
      </w:pPr>
      <w:r>
        <w:rPr>
          <w:sz w:val="22"/>
        </w:rPr>
        <w:tab/>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val="false"/>
        <w:tabs>
          <w:tab w:val="clear" w:pos="720"/>
          <w:tab w:val="left" w:pos="-1440" w:leader="none"/>
        </w:tabs>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(i)  </w:t>
      </w:r>
      <w:r>
        <w:rPr>
          <w:b/>
          <w:sz w:val="22"/>
        </w:rPr>
        <w:t>Customization and Creditworthiness.</w:t>
      </w:r>
      <w:r>
        <w:rPr>
          <w:sz w:val="22"/>
        </w:rPr>
        <w:t xml:space="preserve">  The economic terms of this Agreement, any Credit Support Document and each Transaction have been individually tailored and negotiated by each party. Each party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w:t>
      </w:r>
    </w:p>
    <w:p>
      <w:pPr>
        <w:pStyle w:val="Normal"/>
        <w:widowControl w:val="false"/>
        <w:tabs>
          <w:tab w:val="clear" w:pos="720"/>
          <w:tab w:val="left" w:pos="-1440" w:leader="none"/>
        </w:tabs>
        <w:ind w:start="720" w:end="0"/>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(j)  </w:t>
        <w:tab/>
      </w:r>
      <w:r>
        <w:rPr>
          <w:b/>
          <w:sz w:val="22"/>
        </w:rPr>
        <w:t>No Reliance</w:t>
      </w:r>
      <w:r>
        <w:rPr>
          <w:sz w:val="22"/>
        </w:rPr>
        <w:t>.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bCs/>
          <w:sz w:val="22"/>
        </w:rPr>
        <w:t>(e)</w:t>
        <w:tab/>
      </w:r>
      <w:r>
        <w:rPr>
          <w:b/>
          <w:sz w:val="22"/>
        </w:rPr>
        <w:t>Reference Market-makers.</w:t>
      </w:r>
      <w:r>
        <w:rPr>
          <w:sz w:val="22"/>
        </w:rPr>
        <w:t xml:space="preserve">  The definition of “Reference Market-makers” in Section 14 of this Agreement is hereby amended by: deleting "(a") from the second line thereof and (ii) by deleting clause (b) thereof. </w:t>
      </w:r>
    </w:p>
    <w:p>
      <w:pPr>
        <w:pStyle w:val="Normal"/>
        <w:widowControl w:val="false"/>
        <w:tabs>
          <w:tab w:val="left" w:pos="720" w:leader="none"/>
        </w:tabs>
        <w:jc w:val="both"/>
        <w:rPr>
          <w:sz w:val="22"/>
        </w:rPr>
      </w:pPr>
      <w:r>
        <w:rPr>
          <w:sz w:val="22"/>
        </w:rPr>
      </w:r>
    </w:p>
    <w:p>
      <w:pPr>
        <w:pStyle w:val="Normal"/>
        <w:tabs>
          <w:tab w:val="clear" w:pos="720"/>
          <w:tab w:val="left" w:pos="-540" w:leader="none"/>
        </w:tabs>
        <w:ind w:hanging="720" w:start="720" w:end="0"/>
        <w:jc w:val="both"/>
        <w:rPr/>
      </w:pPr>
      <w:r>
        <w:rPr>
          <w:sz w:val="22"/>
        </w:rPr>
        <w:t>(f)</w:t>
        <w:tab/>
      </w:r>
      <w:r>
        <w:rPr>
          <w:b/>
          <w:sz w:val="22"/>
        </w:rPr>
        <w:t>Definitions.</w:t>
      </w:r>
      <w:r>
        <w:rPr>
          <w:sz w:val="22"/>
        </w:rPr>
        <w:t xml:space="preserve">  This Agreement, each Confirmation, and each Transaction are subject to the 1991 ISDA Definitions, as amended, supplemented, updated, or restated from time to time (including the 1993 ISDA Commodity Derivatives Definitions, as amended, supplemented, updated and restated from time to time the “Commodity Definitions”) (collectively,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as so modified, are incorporated by reference herein, and made part of, this Agreement and each Confirmation as if set forth in full in this Agreement and such Confirmations, except as otherwise specified in the relevant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widowControl w:val="false"/>
        <w:tabs>
          <w:tab w:val="clear" w:pos="720"/>
          <w:tab w:val="left" w:pos="9180" w:leader="none"/>
        </w:tabs>
        <w:jc w:val="both"/>
        <w:rPr>
          <w:strike/>
          <w:sz w:val="22"/>
        </w:rPr>
      </w:pPr>
      <w:r>
        <w:rPr>
          <w:strike/>
          <w:sz w:val="22"/>
        </w:rPr>
      </w:r>
    </w:p>
    <w:p>
      <w:pPr>
        <w:pStyle w:val="Normal"/>
        <w:keepNext w:val="true"/>
        <w:widowControl w:val="false"/>
        <w:tabs>
          <w:tab w:val="clear" w:pos="720"/>
          <w:tab w:val="left" w:pos="-810" w:leader="none"/>
        </w:tabs>
        <w:ind w:hanging="720" w:start="720" w:end="0"/>
        <w:jc w:val="both"/>
        <w:rPr/>
      </w:pPr>
      <w:r>
        <w:rPr>
          <w:sz w:val="22"/>
        </w:rPr>
        <w:t>(g)</w:t>
        <w:tab/>
      </w:r>
      <w:r>
        <w:rPr>
          <w:b/>
          <w:sz w:val="22"/>
        </w:rPr>
        <w:t>Accounts.</w:t>
      </w:r>
      <w:r>
        <w:rPr>
          <w:sz w:val="22"/>
        </w:rPr>
        <w:t xml:space="preserve">  If a Confirmation does not state the account to which, or the currency in which, payments are to be made, they shall be made in United States Dollars to the following accounts:</w:t>
      </w:r>
    </w:p>
    <w:p>
      <w:pPr>
        <w:pStyle w:val="Normal"/>
        <w:keepNext w:val="true"/>
        <w:widowControl w:val="false"/>
        <w:jc w:val="both"/>
        <w:rPr>
          <w:sz w:val="22"/>
        </w:rPr>
      </w:pPr>
      <w:r>
        <w:rPr>
          <w:sz w:val="22"/>
        </w:rPr>
      </w:r>
    </w:p>
    <w:p>
      <w:pPr>
        <w:pStyle w:val="Normal"/>
        <w:keepNext w:val="true"/>
        <w:widowControl w:val="false"/>
        <w:ind w:firstLine="1440" w:end="0"/>
        <w:jc w:val="both"/>
        <w:rPr>
          <w:sz w:val="22"/>
        </w:rPr>
      </w:pPr>
      <w:r>
        <w:rPr>
          <w:b/>
          <w:sz w:val="22"/>
        </w:rPr>
        <w:t>Party A</w:t>
      </w:r>
    </w:p>
    <w:p>
      <w:pPr>
        <w:pStyle w:val="Normal"/>
        <w:keepNext w:val="true"/>
        <w:widowControl w:val="false"/>
        <w:ind w:firstLine="1440" w:end="0"/>
        <w:jc w:val="both"/>
        <w:rPr>
          <w:sz w:val="22"/>
        </w:rPr>
      </w:pPr>
      <w:r>
        <w:rPr>
          <w:sz w:val="22"/>
        </w:rPr>
      </w:r>
    </w:p>
    <w:tbl>
      <w:tblPr>
        <w:tblW w:w="12366" w:type="dxa"/>
        <w:jc w:val="start"/>
        <w:tblInd w:w="1458" w:type="dxa"/>
        <w:tblLayout w:type="fixed"/>
        <w:tblCellMar>
          <w:top w:w="0" w:type="dxa"/>
          <w:start w:w="108" w:type="dxa"/>
          <w:bottom w:w="0" w:type="dxa"/>
          <w:end w:w="108" w:type="dxa"/>
        </w:tblCellMar>
      </w:tblPr>
      <w:tblGrid>
        <w:gridCol w:w="3870"/>
        <w:gridCol w:w="4248"/>
        <w:gridCol w:w="4248"/>
      </w:tblGrid>
      <w:tr>
        <w:trPr/>
        <w:tc>
          <w:tcPr>
            <w:tcW w:w="3870" w:type="dxa"/>
            <w:tcBorders/>
          </w:tcPr>
          <w:p>
            <w:pPr>
              <w:pStyle w:val="Normal"/>
              <w:keepNext w:val="true"/>
              <w:widowControl w:val="false"/>
              <w:jc w:val="both"/>
              <w:rPr>
                <w:sz w:val="22"/>
              </w:rPr>
            </w:pPr>
            <w:r>
              <w:rPr>
                <w:sz w:val="22"/>
              </w:rPr>
              <w:t>Payment:</w:t>
            </w:r>
          </w:p>
        </w:tc>
        <w:tc>
          <w:tcPr>
            <w:tcW w:w="4248" w:type="dxa"/>
            <w:tcBorders/>
          </w:tcPr>
          <w:p>
            <w:pPr>
              <w:pStyle w:val="Normal"/>
              <w:keepNext w:val="true"/>
              <w:widowControl w:val="false"/>
              <w:jc w:val="both"/>
              <w:rPr>
                <w:sz w:val="22"/>
              </w:rPr>
            </w:pPr>
            <w:r>
              <w:rPr>
                <w:b/>
                <w:sz w:val="22"/>
              </w:rPr>
              <w:t>Mellon Bank</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For the Account of:</w:t>
            </w:r>
          </w:p>
        </w:tc>
        <w:tc>
          <w:tcPr>
            <w:tcW w:w="4248" w:type="dxa"/>
            <w:tcBorders/>
          </w:tcPr>
          <w:p>
            <w:pPr>
              <w:pStyle w:val="Normal"/>
              <w:keepNext w:val="true"/>
              <w:widowControl w:val="false"/>
              <w:jc w:val="both"/>
              <w:rPr>
                <w:sz w:val="22"/>
              </w:rPr>
            </w:pPr>
            <w:r>
              <w:rPr>
                <w:b/>
                <w:sz w:val="22"/>
              </w:rPr>
              <w:t>Mesquite Investors, LLC</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Account No/CHIPS UID:</w:t>
            </w:r>
          </w:p>
        </w:tc>
        <w:tc>
          <w:tcPr>
            <w:tcW w:w="4248" w:type="dxa"/>
            <w:tcBorders/>
          </w:tcPr>
          <w:p>
            <w:pPr>
              <w:pStyle w:val="Normal"/>
              <w:keepNext w:val="true"/>
              <w:widowControl w:val="false"/>
              <w:jc w:val="both"/>
              <w:rPr>
                <w:sz w:val="22"/>
              </w:rPr>
            </w:pPr>
            <w:r>
              <w:rPr>
                <w:b/>
                <w:sz w:val="22"/>
              </w:rPr>
              <w:t>013-9344</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Fed. ABA No.:</w:t>
            </w:r>
          </w:p>
        </w:tc>
        <w:tc>
          <w:tcPr>
            <w:tcW w:w="4248" w:type="dxa"/>
            <w:tcBorders/>
          </w:tcPr>
          <w:p>
            <w:pPr>
              <w:pStyle w:val="Normal"/>
              <w:keepNext w:val="true"/>
              <w:widowControl w:val="false"/>
              <w:jc w:val="both"/>
              <w:rPr>
                <w:sz w:val="22"/>
              </w:rPr>
            </w:pPr>
            <w:r>
              <w:rPr>
                <w:b/>
                <w:sz w:val="22"/>
              </w:rPr>
              <w:t>043-000-261</w:t>
            </w:r>
          </w:p>
        </w:tc>
        <w:tc>
          <w:tcPr>
            <w:tcW w:w="4248" w:type="dxa"/>
            <w:tcBorders/>
          </w:tcPr>
          <w:p>
            <w:pPr>
              <w:pStyle w:val="Normal"/>
              <w:keepNext w:val="true"/>
              <w:widowControl w:val="false"/>
              <w:snapToGrid w:val="false"/>
              <w:jc w:val="both"/>
              <w:rPr>
                <w:sz w:val="22"/>
              </w:rPr>
            </w:pPr>
            <w:r>
              <w:rPr>
                <w:sz w:val="22"/>
              </w:rPr>
            </w:r>
          </w:p>
        </w:tc>
      </w:tr>
    </w:tbl>
    <w:p>
      <w:pPr>
        <w:pStyle w:val="Normal"/>
        <w:widowControl w:val="false"/>
        <w:ind w:firstLine="1440" w:end="0"/>
        <w:jc w:val="both"/>
        <w:rPr>
          <w:b/>
          <w:sz w:val="22"/>
        </w:rPr>
      </w:pPr>
      <w:r>
        <w:rPr>
          <w:b/>
          <w:sz w:val="22"/>
        </w:rPr>
      </w:r>
    </w:p>
    <w:p>
      <w:pPr>
        <w:pStyle w:val="Normal"/>
        <w:widowControl w:val="false"/>
        <w:ind w:firstLine="1440" w:end="0"/>
        <w:jc w:val="both"/>
        <w:rPr>
          <w:sz w:val="22"/>
        </w:rPr>
      </w:pPr>
      <w:r>
        <w:rPr>
          <w:b/>
          <w:sz w:val="22"/>
        </w:rPr>
        <w:t>Party B</w:t>
      </w:r>
    </w:p>
    <w:p>
      <w:pPr>
        <w:pStyle w:val="Normal"/>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widowControl w:val="false"/>
              <w:jc w:val="both"/>
              <w:rPr>
                <w:sz w:val="22"/>
              </w:rPr>
            </w:pPr>
            <w:r>
              <w:rPr>
                <w:sz w:val="22"/>
              </w:rPr>
              <w:t>Payment:</w:t>
            </w:r>
          </w:p>
        </w:tc>
        <w:tc>
          <w:tcPr>
            <w:tcW w:w="4248" w:type="dxa"/>
            <w:tcBorders/>
          </w:tcPr>
          <w:p>
            <w:pPr>
              <w:pStyle w:val="Normal"/>
              <w:widowControl w:val="false"/>
              <w:jc w:val="both"/>
              <w:rPr>
                <w:b/>
                <w:sz w:val="22"/>
              </w:rPr>
            </w:pPr>
            <w:r>
              <w:rPr>
                <w:b/>
                <w:sz w:val="22"/>
              </w:rPr>
              <w:t>Mellon Bank</w:t>
            </w:r>
          </w:p>
        </w:tc>
      </w:tr>
      <w:tr>
        <w:trPr/>
        <w:tc>
          <w:tcPr>
            <w:tcW w:w="3870" w:type="dxa"/>
            <w:tcBorders/>
          </w:tcPr>
          <w:p>
            <w:pPr>
              <w:pStyle w:val="Normal"/>
              <w:widowControl w:val="false"/>
              <w:jc w:val="both"/>
              <w:rPr>
                <w:sz w:val="22"/>
              </w:rPr>
            </w:pPr>
            <w:r>
              <w:rPr>
                <w:sz w:val="22"/>
              </w:rPr>
              <w:t>For the Account of:</w:t>
            </w:r>
          </w:p>
        </w:tc>
        <w:tc>
          <w:tcPr>
            <w:tcW w:w="4248" w:type="dxa"/>
            <w:tcBorders/>
          </w:tcPr>
          <w:p>
            <w:pPr>
              <w:pStyle w:val="Normal"/>
              <w:widowControl w:val="false"/>
              <w:jc w:val="both"/>
              <w:rPr>
                <w:b/>
                <w:sz w:val="22"/>
              </w:rPr>
            </w:pPr>
            <w:r>
              <w:rPr>
                <w:b/>
                <w:sz w:val="22"/>
              </w:rPr>
              <w:t>El Paso Merchant Energy-Gas, L.P.</w:t>
            </w:r>
          </w:p>
        </w:tc>
      </w:tr>
      <w:tr>
        <w:trPr/>
        <w:tc>
          <w:tcPr>
            <w:tcW w:w="3870" w:type="dxa"/>
            <w:tcBorders/>
          </w:tcPr>
          <w:p>
            <w:pPr>
              <w:pStyle w:val="Normal"/>
              <w:widowControl w:val="false"/>
              <w:jc w:val="both"/>
              <w:rPr>
                <w:sz w:val="22"/>
              </w:rPr>
            </w:pPr>
            <w:r>
              <w:rPr>
                <w:sz w:val="22"/>
              </w:rPr>
              <w:t>Account No/CHIPS UID:</w:t>
            </w:r>
          </w:p>
        </w:tc>
        <w:tc>
          <w:tcPr>
            <w:tcW w:w="4248" w:type="dxa"/>
            <w:tcBorders/>
          </w:tcPr>
          <w:p>
            <w:pPr>
              <w:pStyle w:val="Normal"/>
              <w:widowControl w:val="false"/>
              <w:jc w:val="both"/>
              <w:rPr>
                <w:b/>
                <w:sz w:val="22"/>
              </w:rPr>
            </w:pPr>
            <w:r>
              <w:rPr>
                <w:b/>
                <w:sz w:val="22"/>
              </w:rPr>
              <w:t>006-3087</w:t>
            </w:r>
          </w:p>
        </w:tc>
      </w:tr>
      <w:tr>
        <w:trPr/>
        <w:tc>
          <w:tcPr>
            <w:tcW w:w="3870" w:type="dxa"/>
            <w:tcBorders/>
          </w:tcPr>
          <w:p>
            <w:pPr>
              <w:pStyle w:val="Normal"/>
              <w:widowControl w:val="false"/>
              <w:jc w:val="both"/>
              <w:rPr>
                <w:sz w:val="22"/>
              </w:rPr>
            </w:pPr>
            <w:r>
              <w:rPr>
                <w:sz w:val="22"/>
              </w:rPr>
              <w:t>Fed. ABA No.:</w:t>
            </w:r>
          </w:p>
        </w:tc>
        <w:tc>
          <w:tcPr>
            <w:tcW w:w="4248" w:type="dxa"/>
            <w:tcBorders/>
          </w:tcPr>
          <w:p>
            <w:pPr>
              <w:pStyle w:val="Normal"/>
              <w:widowControl w:val="false"/>
              <w:jc w:val="both"/>
              <w:rPr>
                <w:b/>
                <w:sz w:val="22"/>
              </w:rPr>
            </w:pPr>
            <w:r>
              <w:rPr>
                <w:b/>
                <w:sz w:val="22"/>
              </w:rPr>
              <w:t>043-000-261</w:t>
            </w:r>
          </w:p>
          <w:p>
            <w:pPr>
              <w:pStyle w:val="Normal"/>
              <w:widowControl w:val="false"/>
              <w:jc w:val="both"/>
              <w:rPr>
                <w:b/>
                <w:sz w:val="22"/>
              </w:rPr>
            </w:pPr>
            <w:r>
              <w:rPr>
                <w:b/>
                <w:sz w:val="22"/>
              </w:rPr>
            </w:r>
          </w:p>
        </w:tc>
      </w:tr>
    </w:tbl>
    <w:p>
      <w:pPr>
        <w:pStyle w:val="Normal"/>
        <w:widowControl w:val="false"/>
        <w:tabs>
          <w:tab w:val="clear" w:pos="720"/>
          <w:tab w:val="left" w:pos="-450" w:leader="none"/>
        </w:tabs>
        <w:ind w:hanging="720" w:start="720" w:end="0"/>
        <w:jc w:val="both"/>
        <w:rPr/>
      </w:pPr>
      <w:r>
        <w:rPr>
          <w:sz w:val="22"/>
        </w:rPr>
        <w:t xml:space="preserve"> </w:t>
      </w:r>
      <w:r>
        <w:rPr>
          <w:sz w:val="22"/>
        </w:rPr>
        <w:t>(h)</w:t>
        <w:tab/>
      </w:r>
      <w:r>
        <w:rPr>
          <w:b/>
          <w:sz w:val="22"/>
        </w:rPr>
        <w:t>Limitation of Rate.</w:t>
      </w:r>
      <w:r>
        <w:rPr>
          <w:sz w:val="22"/>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non-usurious interest rate than applicable law presently allows.</w:t>
      </w:r>
    </w:p>
    <w:p>
      <w:pPr>
        <w:pStyle w:val="Normal"/>
        <w:widowControl w:val="false"/>
        <w:ind w:firstLine="720" w:end="0"/>
        <w:jc w:val="both"/>
        <w:rPr>
          <w:sz w:val="22"/>
        </w:rPr>
      </w:pPr>
      <w:r>
        <w:rPr>
          <w:sz w:val="22"/>
        </w:rPr>
      </w:r>
    </w:p>
    <w:p>
      <w:pPr>
        <w:pStyle w:val="Normal"/>
        <w:widowControl w:val="false"/>
        <w:tabs>
          <w:tab w:val="clear" w:pos="720"/>
          <w:tab w:val="left" w:pos="-450" w:leader="none"/>
        </w:tabs>
        <w:ind w:hanging="720" w:start="720" w:end="0"/>
        <w:jc w:val="both"/>
        <w:rPr/>
      </w:pPr>
      <w:r>
        <w:rPr>
          <w:sz w:val="22"/>
        </w:rPr>
        <w:t>(i)</w:t>
        <w:tab/>
      </w:r>
      <w:r>
        <w:rPr>
          <w:b/>
          <w:sz w:val="22"/>
        </w:rPr>
        <w:t>LIMITATION OF LIABILITY.  WITH RESPECT TO CLAIMS UNDER THIS AGREEMENT, NO PARTY SHALL BE REQUIRED TO PAY OR BE LIABLE FOR SPECIAL, EXEMPLARY, PUNITIVE, INCIDENTAL, CONSEQUENTIAL, OR INDIRECT DAMAGES (WHETHER OR NOT ARISING FROM ITS NEGLIGENCE) TO ANY OTHER PARTY EXCEPT TO THE EXTENT THAT THE PAYMENTS REQUIRED TO BE MADE PURSUANT TO THIS AGREEMENT ARE DEEMED TO BE SUCH DAMAGES AND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val="false"/>
        <w:jc w:val="both"/>
        <w:rPr>
          <w:b/>
          <w:sz w:val="22"/>
        </w:rPr>
      </w:pPr>
      <w:r>
        <w:rPr>
          <w:b/>
          <w:sz w:val="22"/>
        </w:rPr>
      </w:r>
    </w:p>
    <w:p>
      <w:pPr>
        <w:pStyle w:val="Normal"/>
        <w:widowControl w:val="false"/>
        <w:tabs>
          <w:tab w:val="clear" w:pos="720"/>
          <w:tab w:val="left" w:pos="-900" w:leader="none"/>
        </w:tabs>
        <w:ind w:hanging="720" w:start="720" w:end="0"/>
        <w:jc w:val="both"/>
        <w:rPr/>
      </w:pPr>
      <w:r>
        <w:rPr>
          <w:sz w:val="22"/>
        </w:rPr>
        <w:t>(j)</w:t>
        <w:tab/>
      </w:r>
      <w:r>
        <w:rPr>
          <w:b/>
          <w:sz w:val="22"/>
        </w:rPr>
        <w:t>Confidentiality</w:t>
      </w:r>
      <w:r>
        <w:rPr>
          <w:sz w:val="22"/>
        </w:rPr>
        <w:t>.  The contents of this Agreement and all other documents relating to this Agreement, and any information made available by one party or its Credit Support Provider to the other party or its Credit Support Provider (if any)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(if any) in making such disclosure, or (iv) as may be furnished to the disclosing party’s Affiliates,  (including, without limitation that party’s auditors, attorneys, advisors, or financial institutions) which are required to keep the information that is disclosed in confidence.</w:t>
      </w:r>
    </w:p>
    <w:p>
      <w:pPr>
        <w:pStyle w:val="Normal"/>
        <w:widowControl w:val="false"/>
        <w:jc w:val="both"/>
        <w:rPr>
          <w:sz w:val="22"/>
        </w:rPr>
      </w:pPr>
      <w:r>
        <w:rPr>
          <w:sz w:val="22"/>
        </w:rPr>
      </w:r>
    </w:p>
    <w:p>
      <w:pPr>
        <w:pStyle w:val="Normal"/>
        <w:widowControl w:val="false"/>
        <w:tabs>
          <w:tab w:val="clear" w:pos="720"/>
          <w:tab w:val="left" w:pos="-1350" w:leader="none"/>
        </w:tabs>
        <w:ind w:hanging="720" w:start="720" w:end="0"/>
        <w:jc w:val="both"/>
        <w:rPr/>
      </w:pPr>
      <w:r>
        <w:rPr>
          <w:sz w:val="22"/>
        </w:rPr>
        <w:t>(k)</w:t>
        <w:tab/>
      </w:r>
      <w:r>
        <w:rPr>
          <w:b/>
          <w:sz w:val="22"/>
        </w:rPr>
        <w:t>Procedures for Entering into Transactions.</w:t>
      </w:r>
      <w:r>
        <w:rPr>
          <w:sz w:val="22"/>
        </w:rPr>
        <w:t xml:space="preserve">  The parties hereby amend Section 9(e)(ii) by adding the following sentence at the end thereof:  “On or promptly following the date on which the parties reach agreement on the terms of a Transaction as contemplated by the first sentence of Section 9(e)(ii), Party B will send to Party A a Confirmation.  Party A will promptly thereafter confirm the accuracy of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make reasonable efforts to resolve the dispute in good faith.  If Party A has not accepted or disputed the Confirmation in the manner set forth above within two (2) Local Business Days after it was effectively sent to Party A, the Confirmation shall be deemed to correctly reflect the parties’ agreement on the terms of the Transaction referred to therein and be binding,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val="false"/>
        <w:jc w:val="both"/>
        <w:rPr>
          <w:sz w:val="22"/>
        </w:rPr>
      </w:pPr>
      <w:r>
        <w:rPr>
          <w:sz w:val="22"/>
        </w:rPr>
      </w:r>
    </w:p>
    <w:p>
      <w:pPr>
        <w:pStyle w:val="Normal"/>
        <w:widowControl w:val="false"/>
        <w:tabs>
          <w:tab w:val="clear" w:pos="720"/>
          <w:tab w:val="left" w:pos="-810" w:leader="none"/>
        </w:tabs>
        <w:ind w:hanging="720" w:start="720" w:end="0"/>
        <w:jc w:val="both"/>
        <w:rPr/>
      </w:pPr>
      <w:r>
        <w:rPr>
          <w:sz w:val="22"/>
        </w:rPr>
        <w:t>(l)</w:t>
        <w:tab/>
      </w:r>
      <w:r>
        <w:rPr>
          <w:b/>
          <w:sz w:val="22"/>
        </w:rPr>
        <w:t>Recording of Telephone Conversations</w:t>
      </w:r>
      <w:r>
        <w:rPr>
          <w:sz w:val="22"/>
        </w:rPr>
        <w:t xml:space="preserve">. Party A and Party B agree that (i) each may electronically record all telephone conversations between their respective officers and employees relating to any Transaction, (ii) each waives any further notice of such monitoring or recording, and agrees to notify such officers and employees of such monitoring or recording and to obtain any necessary consent of such officers and employees and (iii) such recording may be introduced as evidence of a Transaction to the extent permitted by applicable law. </w:t>
      </w:r>
    </w:p>
    <w:p>
      <w:pPr>
        <w:pStyle w:val="Normal"/>
        <w:keepNext w:val="true"/>
        <w:tabs>
          <w:tab w:val="clear" w:pos="720"/>
          <w:tab w:val="left" w:pos="-720" w:leader="none"/>
        </w:tabs>
        <w:spacing w:lineRule="exact" w:line="240" w:before="240" w:after="0"/>
        <w:ind w:hanging="720" w:start="720" w:end="0"/>
        <w:jc w:val="both"/>
        <w:rPr/>
      </w:pPr>
      <w:r>
        <w:rPr>
          <w:sz w:val="22"/>
        </w:rPr>
        <w:t>(m)</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Indent"/>
        <w:spacing w:before="0" w:after="0"/>
        <w:rPr>
          <w:sz w:val="22"/>
        </w:rPr>
      </w:pPr>
      <w:r>
        <w:rPr>
          <w:sz w:val="22"/>
        </w:rPr>
      </w:r>
    </w:p>
    <w:p>
      <w:pPr>
        <w:pStyle w:val="Normal"/>
        <w:numPr>
          <w:ilvl w:val="0"/>
          <w:numId w:val="2"/>
        </w:numPr>
        <w:tabs>
          <w:tab w:val="left" w:pos="720" w:leader="none"/>
        </w:tabs>
        <w:spacing w:lineRule="exact" w:line="240"/>
        <w:ind w:hanging="1080" w:start="1080" w:end="0"/>
        <w:jc w:val="both"/>
        <w:rPr>
          <w:sz w:val="22"/>
        </w:rPr>
      </w:pPr>
      <w:del w:id="4" w:author="adavis4" w:date="2000-12-04T17:51:00Z">
        <w:r>
          <w:rPr>
            <w:sz w:val="22"/>
          </w:rPr>
          <w:delText>(n)</w:delText>
          <w:tab/>
        </w:r>
      </w:del>
      <w:r>
        <w:rPr>
          <w:b/>
          <w:sz w:val="22"/>
        </w:rPr>
        <w:t>Transfer.</w:t>
      </w:r>
      <w:r>
        <w:rPr>
          <w:sz w:val="22"/>
        </w:rPr>
        <w:t xml:space="preserve">  Section 7 is hereby amended by adding the following Subsection (c):</w:t>
      </w:r>
    </w:p>
    <w:p>
      <w:pPr>
        <w:pStyle w:val="Normal"/>
        <w:spacing w:lineRule="exact" w:line="240"/>
        <w:ind w:start="360" w:end="0"/>
        <w:jc w:val="both"/>
        <w:rPr>
          <w:sz w:val="22"/>
        </w:rPr>
      </w:pPr>
      <w:r>
        <w:rPr>
          <w:sz w:val="22"/>
        </w:rPr>
      </w:r>
    </w:p>
    <w:p>
      <w:pPr>
        <w:pStyle w:val="BodyTextIndent2"/>
        <w:tabs>
          <w:tab w:val="clear" w:pos="1350"/>
          <w:tab w:val="left" w:pos="-450" w:leader="none"/>
          <w:tab w:val="left" w:pos="-90" w:leader="none"/>
        </w:tabs>
        <w:ind w:hanging="0" w:start="720" w:end="0"/>
        <w:rPr/>
      </w:pPr>
      <w:r>
        <w:rPr/>
        <w:t>“</w:t>
      </w:r>
      <w:r>
        <w:rPr/>
        <w:t xml:space="preserve">(c)  Party A may transfer its rights and obligations under this Agreement to any person or entity, provided that on the next succeeding Scheduled Payment Date, Party B will not be required to gross up its payments to the proposed transferee or receive payments from the proposed transferee net of withholding or deduction that would not otherwise be required hereunder or under applicable law in the absence of such proposed transfer.  Party B may transfer its rights and obligations under this Agreement to any person or entity, provided that the assignee has an equal or greater credit rating as measured by Standard &amp; Poors or Moody’s Ratings Services. </w:t>
      </w:r>
    </w:p>
    <w:p>
      <w:pPr>
        <w:pStyle w:val="BodyTextIndent2"/>
        <w:tabs>
          <w:tab w:val="clear" w:pos="1350"/>
          <w:tab w:val="left" w:pos="-450" w:leader="none"/>
          <w:tab w:val="left" w:pos="-90" w:leader="none"/>
        </w:tabs>
        <w:ind w:hanging="0" w:start="720" w:end="0"/>
        <w:rPr>
          <w:ins w:id="6" w:author="adavis4" w:date="2000-12-04T17:53:00Z"/>
        </w:rPr>
      </w:pPr>
      <w:ins w:id="5" w:author="adavis4" w:date="2000-12-04T17:53:00Z">
        <w:r>
          <w:rPr/>
        </w:r>
      </w:ins>
    </w:p>
    <w:p>
      <w:pPr>
        <w:pStyle w:val="BodyTextIndent2"/>
        <w:tabs>
          <w:tab w:val="clear" w:pos="1350"/>
          <w:tab w:val="left" w:pos="-450" w:leader="none"/>
          <w:tab w:val="left" w:pos="-90" w:leader="none"/>
        </w:tabs>
        <w:ind w:hanging="720" w:start="720" w:end="0"/>
        <w:rPr/>
      </w:pPr>
      <w:r>
        <w:rPr/>
        <w:t>(o)</w:t>
        <w:tab/>
      </w:r>
      <w:r>
        <w:rPr>
          <w:b/>
        </w:rPr>
        <w:t>Applicable Rate.</w:t>
      </w:r>
      <w:r>
        <w:rPr/>
        <w:t xml:space="preserve">  The definition of </w:t>
      </w:r>
      <w:r>
        <w:rPr>
          <w:b/>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before="240" w:after="0"/>
        <w:ind w:hanging="720" w:start="720" w:end="0"/>
        <w:jc w:val="both"/>
        <w:rPr/>
      </w:pPr>
      <w:r>
        <w:rPr>
          <w:sz w:val="22"/>
        </w:rPr>
        <w:t>(p</w:t>
      </w:r>
      <w:r>
        <w:rPr>
          <w:b/>
          <w:bCs/>
          <w:sz w:val="22"/>
        </w:rPr>
        <w:t>)</w:t>
        <w:tab/>
        <w:t>Sev</w:t>
      </w:r>
      <w:r>
        <w:rPr>
          <w:b/>
          <w:sz w:val="22"/>
        </w:rPr>
        <w:t>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tabs>
          <w:tab w:val="clear" w:pos="720"/>
          <w:tab w:val="left" w:pos="-1890" w:leader="none"/>
        </w:tabs>
        <w:spacing w:lineRule="exact" w:line="240" w:before="240" w:after="0"/>
        <w:ind w:hanging="720" w:start="720" w:end="0"/>
        <w:jc w:val="both"/>
        <w:rPr>
          <w:ins w:id="12" w:author="adavis4" w:date="2000-12-04T17:53:00Z"/>
        </w:rPr>
      </w:pPr>
      <w:ins w:id="7" w:author="adavis4" w:date="2000-12-04T17:53:00Z">
        <w:r>
          <w:rPr>
            <w:sz w:val="22"/>
          </w:rPr>
          <w:t>(q)</w:t>
          <w:tab/>
        </w:r>
      </w:ins>
      <w:ins w:id="8" w:author="adavis4" w:date="2000-12-04T17:53:00Z">
        <w:r>
          <w:rPr>
            <w:b/>
            <w:bCs/>
            <w:sz w:val="22"/>
          </w:rPr>
          <w:t>Number of</w:t>
        </w:r>
      </w:ins>
      <w:ins w:id="9" w:author="adavis4" w:date="2000-12-04T17:53:00Z">
        <w:r>
          <w:rPr>
            <w:sz w:val="22"/>
          </w:rPr>
          <w:t xml:space="preserve"> </w:t>
        </w:r>
      </w:ins>
      <w:ins w:id="10" w:author="adavis4" w:date="2000-12-04T17:53:00Z">
        <w:r>
          <w:rPr>
            <w:b/>
            <w:bCs/>
            <w:sz w:val="22"/>
          </w:rPr>
          <w:t xml:space="preserve">Transactions.  </w:t>
        </w:r>
      </w:ins>
      <w:ins w:id="11" w:author="adavis4" w:date="2000-12-04T17:53:00Z">
        <w:r>
          <w:rPr>
            <w:sz w:val="22"/>
          </w:rPr>
          <w:t>The only Transaction under this Agreement shall be the Transaction entered into by Party A and Party B by Confirmation of even date herewith.</w:t>
        </w:r>
      </w:ins>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BodyTextIndent"/>
        <w:widowControl w:val="false"/>
        <w:spacing w:lineRule="auto" w:line="240" w:before="0" w:after="0"/>
        <w:rPr>
          <w:szCs w:val="20"/>
        </w:rPr>
      </w:pPr>
      <w:r>
        <w:rPr>
          <w:szCs w:val="20"/>
        </w:rPr>
        <w:t xml:space="preserve">All terms used in this Part 6 that are not otherwise defined shall have the meaning given to them in the Commodity Definitions.  </w:t>
      </w:r>
    </w:p>
    <w:p>
      <w:pPr>
        <w:pStyle w:val="Normal"/>
        <w:widowControl w:val="false"/>
        <w:ind w:firstLine="720" w:end="0"/>
        <w:jc w:val="both"/>
        <w:rPr>
          <w:sz w:val="22"/>
          <w:szCs w:val="20"/>
        </w:rPr>
      </w:pPr>
      <w:r>
        <w:rPr>
          <w:sz w:val="22"/>
          <w:szCs w:val="20"/>
        </w:rPr>
      </w:r>
    </w:p>
    <w:p>
      <w:pPr>
        <w:pStyle w:val="Normal"/>
        <w:tabs>
          <w:tab w:val="clear" w:pos="720"/>
          <w:tab w:val="left" w:pos="0" w:leader="none"/>
        </w:tabs>
        <w:ind w:hanging="720" w:start="720" w:end="0"/>
        <w:jc w:val="both"/>
        <w:rPr>
          <w:sz w:val="22"/>
        </w:rPr>
      </w:pPr>
      <w:r>
        <w:rPr>
          <w:sz w:val="22"/>
        </w:rPr>
        <w:t>(a)</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BodyTextIndent2"/>
        <w:widowControl/>
        <w:tabs>
          <w:tab w:val="clear" w:pos="1350"/>
        </w:tabs>
        <w:ind w:hanging="720" w:start="720" w:end="0"/>
        <w:rPr>
          <w:rFonts w:ascii="Times New Roman" w:hAnsi="Times New Roman" w:cs="Times New Roman"/>
          <w:szCs w:val="20"/>
        </w:rPr>
      </w:pPr>
      <w:r>
        <w:rPr>
          <w:rFonts w:cs="Times New Roman" w:ascii="Times New Roman" w:hAnsi="Times New Roman"/>
          <w:szCs w:val="20"/>
        </w:rPr>
        <w:t>(b)</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szCs w:val="20"/>
        </w:rPr>
      </w:pPr>
      <w:r>
        <w:rPr>
          <w:rFonts w:cs="Times New Roman"/>
          <w:sz w:val="22"/>
          <w:szCs w:val="20"/>
        </w:rPr>
      </w:r>
    </w:p>
    <w:p>
      <w:pPr>
        <w:pStyle w:val="BodyTextIndent3"/>
        <w:tabs>
          <w:tab w:val="left" w:pos="720" w:leader="none"/>
        </w:tabs>
        <w:ind w:hanging="0" w:end="0"/>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tabs>
          <w:tab w:val="clear" w:pos="720"/>
          <w:tab w:val="left" w:pos="1440" w:leader="none"/>
        </w:tabs>
        <w:ind w:firstLine="720" w:start="720" w:end="0"/>
        <w:jc w:val="both"/>
        <w:rPr>
          <w:sz w:val="22"/>
        </w:rPr>
      </w:pPr>
      <w:r>
        <w:rPr>
          <w:sz w:val="22"/>
        </w:rPr>
      </w:r>
    </w:p>
    <w:p>
      <w:pPr>
        <w:pStyle w:val="Normal"/>
        <w:ind w:hanging="720" w:start="720" w:end="0"/>
        <w:jc w:val="both"/>
        <w:rPr>
          <w:sz w:val="22"/>
        </w:rPr>
      </w:pPr>
      <w:r>
        <w:rPr>
          <w:sz w:val="22"/>
        </w:rPr>
        <w:t>(c)</w:t>
        <w:tab/>
        <w:t>Section 7.5(e) of the Commodity Definitions is hereby deleted.</w:t>
      </w:r>
    </w:p>
    <w:p>
      <w:pPr>
        <w:pStyle w:val="BodyTextIndent"/>
        <w:spacing w:before="0" w:after="0"/>
        <w:rPr>
          <w:sz w:val="22"/>
        </w:rPr>
      </w:pPr>
      <w:r>
        <w:rPr>
          <w:sz w:val="22"/>
        </w:rPr>
      </w:r>
    </w:p>
    <w:p>
      <w:pPr>
        <w:pStyle w:val="Normal"/>
        <w:widowControl w:val="false"/>
        <w:tabs>
          <w:tab w:val="clear" w:pos="720"/>
          <w:tab w:val="left" w:pos="-2520" w:leader="none"/>
        </w:tabs>
        <w:ind w:hanging="720" w:start="720" w:end="0"/>
        <w:jc w:val="both"/>
        <w:rPr/>
      </w:pPr>
      <w:r>
        <w:rPr>
          <w:sz w:val="22"/>
        </w:rPr>
        <w:t>(d)</w:t>
        <w:tab/>
      </w:r>
      <w:r>
        <w:rPr>
          <w:b/>
          <w:sz w:val="22"/>
        </w:rPr>
        <w:t>“Additional Market Disruption Events”</w:t>
      </w:r>
      <w:r>
        <w:rPr>
          <w:sz w:val="22"/>
        </w:rPr>
        <w:t xml:space="preserve"> shall apply only if so specified in the relevant Confirmation.</w:t>
      </w:r>
    </w:p>
    <w:p>
      <w:pPr>
        <w:pStyle w:val="Normal"/>
        <w:widowControl w:val="false"/>
        <w:ind w:firstLine="720" w:end="0"/>
        <w:jc w:val="both"/>
        <w:rPr>
          <w:sz w:val="22"/>
        </w:rPr>
      </w:pPr>
      <w:r>
        <w:rPr>
          <w:sz w:val="22"/>
        </w:rPr>
      </w:r>
    </w:p>
    <w:p>
      <w:pPr>
        <w:pStyle w:val="Normal"/>
        <w:widowControl w:val="false"/>
        <w:ind w:hanging="720" w:start="720" w:end="0"/>
        <w:jc w:val="both"/>
        <w:rPr/>
      </w:pPr>
      <w:r>
        <w:rPr>
          <w:sz w:val="22"/>
        </w:rPr>
        <w:t>(e)</w:t>
        <w:tab/>
        <w:t xml:space="preserve">The following </w:t>
      </w:r>
      <w:r>
        <w:rPr>
          <w:b/>
          <w:sz w:val="22"/>
        </w:rPr>
        <w:t>“Disruption Fallbacks”</w:t>
      </w:r>
      <w:r>
        <w:rPr>
          <w:sz w:val="22"/>
        </w:rPr>
        <w:t xml:space="preserve"> specified in Section 7.5(c) of the Commodity Definitions shall apply, in the following order, except as otherwise specified in the relevant Confirmation: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w:t>
        <w:tab/>
      </w:r>
      <w:r>
        <w:rPr>
          <w:b/>
          <w:sz w:val="22"/>
        </w:rPr>
        <w:t>“Postponement”</w:t>
      </w:r>
      <w:r>
        <w:rPr>
          <w:sz w:val="22"/>
        </w:rPr>
        <w:t xml:space="preserve"> with three (3) Commodity Business Days as the Maximum Days of Disruption;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(ii)</w:t>
        <w:tab/>
      </w:r>
      <w:r>
        <w:rPr>
          <w:b/>
          <w:sz w:val="22"/>
        </w:rPr>
        <w:t>“Fallback Reference Price”</w:t>
      </w:r>
      <w:r>
        <w:rPr>
          <w:sz w:val="22"/>
        </w:rPr>
        <w:t xml:space="preserve"> (if the relevant parties have specified an alternate Commodity Reference Price in the Confirmation);</w:t>
      </w:r>
    </w:p>
    <w:p>
      <w:pPr>
        <w:pStyle w:val="Normal"/>
        <w:widowControl w:val="false"/>
        <w:jc w:val="both"/>
        <w:rPr>
          <w:sz w:val="22"/>
        </w:rPr>
      </w:pPr>
      <w:r>
        <w:rPr>
          <w:sz w:val="22"/>
        </w:rPr>
      </w:r>
    </w:p>
    <w:p>
      <w:pPr>
        <w:pStyle w:val="Normal"/>
        <w:widowControl w:val="false"/>
        <w:numPr>
          <w:ilvl w:val="0"/>
          <w:numId w:val="6"/>
        </w:numPr>
        <w:tabs>
          <w:tab w:val="clear" w:pos="720"/>
          <w:tab w:val="left" w:pos="-360" w:leader="none"/>
        </w:tabs>
        <w:ind w:hanging="450" w:start="1170" w:end="0"/>
        <w:jc w:val="both"/>
        <w:rPr>
          <w:sz w:val="22"/>
        </w:rPr>
      </w:pPr>
      <w:r>
        <w:rPr>
          <w:b/>
          <w:sz w:val="22"/>
        </w:rPr>
        <w:t>“</w:t>
      </w:r>
      <w:r>
        <w:rPr>
          <w:b/>
          <w:sz w:val="22"/>
        </w:rPr>
        <w:t>Negotiated Fallback”</w:t>
      </w:r>
      <w:r>
        <w:rPr>
          <w:sz w:val="22"/>
        </w:rPr>
        <w:t xml:space="preserve"> (provided that the reference in Section 7.5(c)(ii) to “fifth Business Day” shall be amended to be “twelfth Business Day”); and </w:t>
      </w:r>
    </w:p>
    <w:p>
      <w:pPr>
        <w:pStyle w:val="Normal"/>
        <w:widowControl w:val="false"/>
        <w:ind w:start="1440" w:end="0"/>
        <w:jc w:val="both"/>
        <w:rPr>
          <w:sz w:val="22"/>
        </w:rPr>
      </w:pPr>
      <w:r>
        <w:rPr>
          <w:sz w:val="22"/>
        </w:rPr>
      </w:r>
    </w:p>
    <w:p>
      <w:pPr>
        <w:pStyle w:val="Normal"/>
        <w:ind w:hanging="450" w:start="1170" w:end="0"/>
        <w:jc w:val="both"/>
        <w:rPr>
          <w:sz w:val="22"/>
          <w:szCs w:val="22"/>
        </w:rPr>
      </w:pPr>
      <w:r>
        <w:rPr>
          <w:sz w:val="22"/>
        </w:rPr>
        <w:t>(iv)</w:t>
        <w:tab/>
        <w:t xml:space="preserve">The Relevant Price will be determined and calculated as set forth in the definition of  “COMMODITY-REFERENCE DEALERS”, however, notwithstanding any reference to the number of Specified Prices in such definition, the Relevant Price shall be determined by each party obtaining quotes from two (2) leading dealers in the relevant market, and averaging the two (2) quotes remaining after eliminating the highest and lowest quotes.  </w:t>
      </w:r>
    </w:p>
    <w:p>
      <w:pPr>
        <w:pStyle w:val="Header"/>
        <w:widowControl/>
        <w:jc w:val="both"/>
        <w:rPr>
          <w:sz w:val="22"/>
          <w:szCs w:val="22"/>
        </w:rPr>
      </w:pPr>
      <w:r>
        <w:rPr>
          <w:sz w:val="22"/>
          <w:szCs w:val="22"/>
        </w:rPr>
      </w:r>
      <w:r>
        <w:br w:type="page"/>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ind w:hanging="720" w:start="5760" w:end="0"/>
        <w:rPr>
          <w:sz w:val="22"/>
        </w:rPr>
      </w:pPr>
      <w:r>
        <w:rPr>
          <w:sz w:val="22"/>
        </w:rPr>
        <w:t>By:</w:t>
        <w:tab/>
        <w:t>Chaparral Investors, L.L.C., its sole member</w:t>
      </w:r>
    </w:p>
    <w:p>
      <w:pPr>
        <w:pStyle w:val="Normal"/>
        <w:rPr>
          <w:sz w:val="22"/>
        </w:rPr>
      </w:pPr>
      <w:r>
        <w:rPr>
          <w:sz w:val="22"/>
        </w:rPr>
      </w:r>
    </w:p>
    <w:p>
      <w:pPr>
        <w:pStyle w:val="Normal"/>
        <w:ind w:hanging="720" w:start="5760" w:end="0"/>
        <w:rPr>
          <w:sz w:val="22"/>
        </w:rPr>
      </w:pPr>
      <w:r>
        <w:rPr>
          <w:sz w:val="22"/>
        </w:rPr>
        <w:t>By:</w:t>
        <w:tab/>
        <w:t>El Paso Chaparral Investor, L.L.C., its sole member</w:t>
      </w:r>
    </w:p>
    <w:p>
      <w:pPr>
        <w:pStyle w:val="Normal"/>
        <w:rPr>
          <w:sz w:val="22"/>
        </w:rPr>
      </w:pPr>
      <w:r>
        <w:rPr>
          <w:sz w:val="22"/>
        </w:rPr>
      </w:r>
    </w:p>
    <w:p>
      <w:pPr>
        <w:pStyle w:val="Normal"/>
        <w:ind w:hanging="720" w:start="5760" w:end="0"/>
        <w:rPr>
          <w:sz w:val="22"/>
        </w:rPr>
      </w:pPr>
      <w:r>
        <w:rPr>
          <w:sz w:val="22"/>
        </w:rPr>
        <w:t xml:space="preserve">By: </w:t>
        <w:tab/>
        <w:t>El Paso Chaparral Holding Company, its sole member</w:t>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spacing w:lineRule="auto" w:line="360"/>
        <w:ind w:firstLine="720" w:end="0"/>
        <w:rPr>
          <w:sz w:val="22"/>
        </w:rPr>
      </w:pPr>
      <w:r>
        <w:rPr>
          <w:sz w:val="22"/>
        </w:rPr>
        <w:tab/>
        <w:tab/>
        <w:tab/>
        <w:tab/>
        <w:tab/>
        <w:tab/>
        <w:t>Title:  _______________________________</w:t>
      </w:r>
    </w:p>
    <w:p>
      <w:pPr>
        <w:pStyle w:val="Normal"/>
        <w:rPr>
          <w:sz w:val="22"/>
        </w:rPr>
      </w:pPr>
      <w:r>
        <w:rPr>
          <w:sz w:val="22"/>
        </w:rPr>
      </w:r>
    </w:p>
    <w:p>
      <w:pPr>
        <w:pStyle w:val="Normal"/>
        <w:ind w:firstLine="720" w:start="1440" w:end="0"/>
        <w:rPr>
          <w:b/>
          <w:sz w:val="22"/>
        </w:rPr>
      </w:pPr>
      <w:r>
        <w:rPr>
          <w:b/>
          <w:sz w:val="22"/>
        </w:rPr>
        <w:tab/>
        <w:tab/>
        <w:tab/>
        <w:tab/>
        <w:t>EL PASO MERCHANT ENERGY-GAS L.P.</w:t>
      </w:r>
    </w:p>
    <w:p>
      <w:pPr>
        <w:pStyle w:val="Normal"/>
        <w:rPr>
          <w:b/>
          <w:sz w:val="22"/>
        </w:rPr>
      </w:pPr>
      <w:r>
        <w:rPr>
          <w:b/>
          <w:sz w:val="22"/>
        </w:rPr>
      </w:r>
    </w:p>
    <w:p>
      <w:pPr>
        <w:pStyle w:val="Normal"/>
        <w:ind w:hanging="720" w:start="5760" w:end="0"/>
        <w:rPr>
          <w:sz w:val="22"/>
        </w:rPr>
      </w:pPr>
      <w:r>
        <w:rPr>
          <w:sz w:val="22"/>
        </w:rPr>
        <w:t>By:</w:t>
        <w:tab/>
        <w:t>El Paso Merchant Energy-Gas Company, L.L.C., its General Partner</w:t>
      </w:r>
    </w:p>
    <w:p>
      <w:pPr>
        <w:pStyle w:val="Normal"/>
        <w:rPr>
          <w:sz w:val="22"/>
        </w:rPr>
      </w:pPr>
      <w:r>
        <w:rPr>
          <w:sz w:val="22"/>
        </w:rPr>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ind w:firstLine="720" w:end="0"/>
        <w:rPr>
          <w:sz w:val="22"/>
        </w:rPr>
      </w:pPr>
      <w:r>
        <w:rPr>
          <w:sz w:val="22"/>
        </w:rPr>
        <w:tab/>
        <w:tab/>
        <w:tab/>
        <w:tab/>
        <w:tab/>
        <w:tab/>
        <w:t>Title:  _______________________________</w:t>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LEGAL OPINION (PARTY A AND PARTY B</w:t>
      </w:r>
    </w:p>
    <w:p>
      <w:pPr>
        <w:pStyle w:val="Normal"/>
        <w:spacing w:lineRule="exact" w:line="240"/>
        <w:ind w:end="720"/>
        <w:jc w:val="center"/>
        <w:rPr>
          <w:b/>
          <w:bCs/>
          <w:sz w:val="22"/>
          <w:szCs w:val="22"/>
        </w:rPr>
      </w:pPr>
      <w:r>
        <w:rPr>
          <w:b/>
          <w:bCs/>
          <w:sz w:val="22"/>
          <w:szCs w:val="22"/>
          <w:u w:val="single"/>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EL PASO ENERGY CORPORATION</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Justified"/>
        <w:spacing w:lineRule="exact" w:line="240" w:before="0" w:after="0"/>
        <w:jc w:val="center"/>
        <w:rPr/>
      </w:pPr>
      <w:r>
        <w:rPr/>
        <w:t>EXHIBIT B</w:t>
      </w:r>
    </w:p>
    <w:p>
      <w:pPr>
        <w:pStyle w:val="Normal"/>
        <w:jc w:val="center"/>
        <w:rPr/>
      </w:pPr>
      <w:r>
        <w:rPr/>
        <w:t>LEGAL OPINION</w:t>
      </w:r>
    </w:p>
    <w:p>
      <w:pPr>
        <w:pStyle w:val="Normal"/>
        <w:jc w:val="center"/>
        <w:rPr>
          <w:sz w:val="22"/>
          <w:szCs w:val="22"/>
        </w:rPr>
      </w:pPr>
      <w:r>
        <w:rPr>
          <w:sz w:val="22"/>
          <w:szCs w:val="22"/>
        </w:rPr>
        <w:t xml:space="preserve">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Heading2"/>
        <w:spacing w:before="0" w:after="240"/>
        <w:jc w:val="center"/>
        <w:rPr>
          <w:color w:val="0000FF"/>
          <w:sz w:val="22"/>
          <w:szCs w:val="22"/>
        </w:rPr>
      </w:pPr>
      <w:r>
        <w:rPr>
          <w:color w:val="0000FF"/>
          <w:sz w:val="22"/>
          <w:szCs w:val="22"/>
        </w:rPr>
      </w:r>
    </w:p>
    <w:sectPr>
      <w:footerReference w:type="default" r:id="rId3"/>
      <w:footerReference w:type="first" r:id="rId4"/>
      <w:type w:val="nextPage"/>
      <w:pgSz w:w="12240" w:h="15840"/>
      <w:pgMar w:left="1080" w:right="1080" w:gutter="0" w:header="0" w:top="1440" w:footer="55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/mnt/main-storage/datasets/enron-docs/doc/elpasoschedule2.doc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/mnt/main-storage/datasets/enron-docs/doc/elpasoschedule2.doc</w:t>
    </w:r>
    <w:r>
      <w:rPr>
        <w:sz w:val="16"/>
      </w:rPr>
      <w:fldChar w:fldCharType="end"/>
    </w:r>
  </w:p>
  <w:p>
    <w:pPr>
      <w:pStyle w:val="Footer"/>
      <w:widowControl/>
      <w:tabs>
        <w:tab w:val="clear" w:pos="4320"/>
        <w:tab w:val="right" w:pos="8640" w:leader="none"/>
      </w:tabs>
      <w:ind w:end="36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lowerLetter"/>
      <w:lvlText w:val="(%1)"/>
      <w:lvlJc w:val="start"/>
      <w:pPr>
        <w:tabs>
          <w:tab w:val="num" w:pos="720"/>
        </w:tabs>
        <w:ind w:start="108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360"/>
      </w:pPr>
      <w:rPr/>
    </w:lvl>
  </w:abstractNum>
  <w:abstractNum w:abstractNumId="6">
    <w:lvl w:ilvl="0">
      <w:start w:val="3"/>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z w:val="22"/>
      <w:szCs w:val="22"/>
    </w:rPr>
  </w:style>
  <w:style w:type="character" w:styleId="WW8Num23z0">
    <w:name w:val="WW8Num23z0"/>
    <w:qFormat/>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color w:val="000000"/>
    </w:rPr>
  </w:style>
  <w:style w:type="character" w:styleId="WW8Num37z0">
    <w:name w:val="WW8Num3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2000-12-04T21:11:00Z</dcterms:created>
  <dc:creator>adavis4</dc:creator>
  <dc:description/>
  <dc:language>en-CA</dc:language>
  <cp:lastModifiedBy>adavis4</cp:lastModifiedBy>
  <cp:lastPrinted>2000-12-04T17:11:00Z</cp:lastPrinted>
  <dcterms:modified xsi:type="dcterms:W3CDTF">2000-12-04T21:23:00Z</dcterms:modified>
  <cp:revision>4</cp:revision>
  <dc:subject/>
  <dc:title>ISDA Multicurrency Agreement</dc:title>
</cp:coreProperties>
</file>