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Mesquite Investors, L.L.C.</w:t>
            </w:r>
          </w:p>
          <w:p>
            <w:pPr>
              <w:pStyle w:val="Normal"/>
              <w:tabs>
                <w:tab w:val="clear" w:pos="720"/>
                <w:tab w:val="left" w:pos="2412" w:leader="none"/>
              </w:tabs>
              <w:ind w:start="1962" w:end="0"/>
              <w:rPr>
                <w:i/>
                <w:i/>
                <w:sz w:val="22"/>
              </w:rPr>
            </w:pPr>
            <w:r>
              <w:rPr>
                <w:i/>
                <w:sz w:val="22"/>
              </w:rPr>
              <w:t>1001 Lousiana Street</w:t>
            </w:r>
          </w:p>
          <w:p>
            <w:pPr>
              <w:pStyle w:val="Normal"/>
              <w:tabs>
                <w:tab w:val="clear" w:pos="720"/>
                <w:tab w:val="left" w:pos="2412" w:leader="none"/>
              </w:tabs>
              <w:ind w:start="1962" w:end="0"/>
              <w:rPr>
                <w:i/>
                <w:i/>
                <w:sz w:val="22"/>
              </w:rPr>
            </w:pPr>
            <w:r>
              <w:rPr>
                <w:i/>
                <w:sz w:val="22"/>
              </w:rPr>
              <w:t>Houston, Texas 77002</w:t>
            </w:r>
          </w:p>
          <w:p>
            <w:pPr>
              <w:pStyle w:val="Normal"/>
              <w:tabs>
                <w:tab w:val="clear" w:pos="720"/>
                <w:tab w:val="left" w:pos="2412" w:leader="none"/>
              </w:tabs>
              <w:ind w:start="1962" w:end="0"/>
              <w:rPr>
                <w:i/>
                <w:i/>
                <w:sz w:val="22"/>
              </w:rPr>
            </w:pPr>
            <w:r>
              <w:rPr>
                <w:i/>
                <w:sz w:val="22"/>
              </w:rPr>
              <w:t xml:space="preserve">Fax (713) 420-7577 </w:t>
            </w:r>
          </w:p>
          <w:p>
            <w:pPr>
              <w:pStyle w:val="Normal"/>
              <w:tabs>
                <w:tab w:val="clear" w:pos="720"/>
                <w:tab w:val="left" w:pos="2412" w:leader="none"/>
              </w:tabs>
              <w:ind w:start="1962" w:end="0"/>
              <w:rPr>
                <w:i/>
                <w:i/>
                <w:sz w:val="22"/>
              </w:rPr>
            </w:pPr>
            <w:r>
              <w:rPr>
                <w:i/>
                <w:sz w:val="22"/>
              </w:rPr>
            </w:r>
          </w:p>
        </w:tc>
      </w:tr>
    </w:tbl>
    <w:p>
      <w:pPr>
        <w:pStyle w:val="Normal"/>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December __, 2000</w:t>
      </w:r>
    </w:p>
    <w:p>
      <w:pPr>
        <w:pStyle w:val="Normal"/>
        <w:rPr>
          <w:sz w:val="22"/>
        </w:rPr>
      </w:pPr>
      <w:r>
        <w:rPr>
          <w:sz w:val="22"/>
        </w:rPr>
        <w:t>To:</w:t>
        <w:tab/>
        <w:tab/>
        <w:t>El Paso Merchant Energy-Gas, L.P. ("Party B")</w:t>
      </w:r>
    </w:p>
    <w:p>
      <w:pPr>
        <w:pStyle w:val="Normal"/>
        <w:rPr>
          <w:sz w:val="22"/>
        </w:rPr>
      </w:pPr>
      <w:r>
        <w:rPr>
          <w:sz w:val="22"/>
        </w:rPr>
        <w:t>Attention:</w:t>
        <w:tab/>
        <w:t>Document Department</w:t>
      </w:r>
    </w:p>
    <w:p>
      <w:pPr>
        <w:pStyle w:val="Normal"/>
        <w:rPr>
          <w:sz w:val="22"/>
        </w:rPr>
      </w:pPr>
      <w:r>
        <w:rPr>
          <w:sz w:val="22"/>
        </w:rPr>
        <w:t>Fax No.:</w:t>
        <w:tab/>
        <w:t>713-420-2180</w:t>
      </w:r>
    </w:p>
    <w:p>
      <w:pPr>
        <w:pStyle w:val="Normal"/>
        <w:rPr>
          <w:sz w:val="22"/>
        </w:rPr>
      </w:pPr>
      <w:r>
        <w:rPr>
          <w:sz w:val="22"/>
        </w:rPr>
        <w:t>From:</w:t>
        <w:tab/>
        <w:tab/>
        <w:t>Mesquite Investors, L.L.C. ("Party A")</w:t>
      </w:r>
    </w:p>
    <w:p>
      <w:pPr>
        <w:pStyle w:val="Normal"/>
        <w:rPr/>
      </w:pPr>
      <w:r>
        <w:rPr>
          <w:sz w:val="22"/>
        </w:rPr>
        <w:t>Re:</w:t>
        <w:tab/>
        <w:tab/>
        <w:t>Commodity Swap [</w:t>
      </w:r>
      <w:r>
        <w:rPr>
          <w:b/>
          <w:sz w:val="22"/>
        </w:rPr>
        <w:t>DRAFT</w:t>
      </w:r>
      <w:r>
        <w:rPr>
          <w:sz w:val="22"/>
        </w:rPr>
        <w:t>]</w:t>
      </w:r>
    </w:p>
    <w:p>
      <w:pPr>
        <w:pStyle w:val="Normal"/>
        <w:rPr>
          <w:sz w:val="22"/>
        </w:rPr>
      </w:pPr>
      <w:r>
        <w:rPr>
          <w:sz w:val="22"/>
        </w:rPr>
      </w:r>
    </w:p>
    <w:p>
      <w:pPr>
        <w:pStyle w:val="BodyText"/>
        <w:rPr/>
      </w:pPr>
      <w:r>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BodyText"/>
        <w:rPr/>
      </w:pPr>
      <w:r>
        <w:rPr/>
        <w:tab/>
        <w:t>1.  This Confirmation supplements, forms part of, and is subject to, the ISDA Master Agreement dated as of December __,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rPr>
                <w:i/>
                <w:i/>
                <w:sz w:val="22"/>
              </w:rPr>
            </w:pPr>
            <w:r>
              <w:rPr>
                <w:sz w:val="22"/>
              </w:rPr>
              <w:t>300,000</w:t>
            </w:r>
            <w:r>
              <w:rPr>
                <w:i/>
                <w:sz w:val="22"/>
              </w:rPr>
              <w:t xml:space="preserve"> </w:t>
            </w:r>
            <w:r>
              <w:rPr>
                <w:sz w:val="22"/>
              </w:rPr>
              <w:t>MMBtu multiplied by the number of days in the relevant Calculation Period</w:t>
            </w:r>
          </w:p>
        </w:tc>
      </w:tr>
    </w:tbl>
    <w:p>
      <w:pPr>
        <w:pStyle w:val="Normal"/>
        <w:rPr>
          <w:sz w:val="22"/>
        </w:rPr>
      </w:pPr>
      <w:r>
        <w:rPr>
          <w:sz w:val="22"/>
        </w:rPr>
      </w:r>
    </w:p>
    <w:p>
      <w:pPr>
        <w:pStyle w:val="Normal"/>
        <w:ind w:firstLine="720" w:end="0"/>
        <w:rPr>
          <w:sz w:val="22"/>
        </w:rPr>
      </w:pPr>
      <w:r>
        <w:rPr>
          <w:sz w:val="22"/>
        </w:rPr>
        <w:t>Commodity:</w:t>
        <w:tab/>
        <w:tab/>
        <w:tab/>
        <w:tab/>
        <w:t>Natural Gas</w:t>
      </w:r>
    </w:p>
    <w:p>
      <w:pPr>
        <w:pStyle w:val="Normal"/>
        <w:rPr>
          <w:sz w:val="22"/>
        </w:rPr>
      </w:pPr>
      <w:r>
        <w:rPr>
          <w:sz w:val="22"/>
        </w:rPr>
      </w:r>
    </w:p>
    <w:p>
      <w:pPr>
        <w:pStyle w:val="Normal"/>
        <w:ind w:firstLine="720" w:end="0"/>
        <w:rPr>
          <w:sz w:val="22"/>
        </w:rPr>
      </w:pPr>
      <w:r>
        <w:rPr>
          <w:sz w:val="22"/>
        </w:rPr>
        <w:t>Commodity Unit:</w:t>
        <w:tab/>
        <w:tab/>
        <w:tab/>
        <w:t>MMBtu (One Million British Thermal Units)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Trade Date:</w:t>
            </w:r>
          </w:p>
        </w:tc>
        <w:tc>
          <w:tcPr>
            <w:tcW w:w="6102" w:type="dxa"/>
            <w:tcBorders/>
          </w:tcPr>
          <w:p>
            <w:pPr>
              <w:pStyle w:val="Normal"/>
              <w:rPr>
                <w:sz w:val="22"/>
              </w:rPr>
            </w:pPr>
            <w:r>
              <w:rPr>
                <w:sz w:val="22"/>
              </w:rPr>
              <w:t>December __,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January 01, 2001</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198"/>
              <w:jc w:val="both"/>
              <w:rPr>
                <w:sz w:val="22"/>
              </w:rPr>
            </w:pPr>
            <w:r>
              <w:rPr>
                <w:sz w:val="22"/>
              </w:rPr>
              <w:t>Termination Date:</w:t>
            </w:r>
          </w:p>
        </w:tc>
        <w:tc>
          <w:tcPr>
            <w:tcW w:w="6102" w:type="dxa"/>
            <w:tcBorders/>
          </w:tcPr>
          <w:p>
            <w:pPr>
              <w:pStyle w:val="Normal"/>
              <w:ind w:start="-18" w:end="0"/>
              <w:jc w:val="both"/>
              <w:rPr>
                <w:sz w:val="22"/>
              </w:rPr>
            </w:pPr>
            <w:r>
              <w:rPr>
                <w:sz w:val="22"/>
              </w:rPr>
              <w:t>February 15, 2008</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jc w:val="both"/>
              <w:rPr>
                <w:sz w:val="22"/>
              </w:rPr>
            </w:pPr>
            <w:r>
              <w:rPr>
                <w:sz w:val="22"/>
              </w:rPr>
              <w:t>Each calendar month beginning January 1, 2001 and ending December 31, 2007</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jc w:val="both"/>
              <w:rPr>
                <w:sz w:val="22"/>
              </w:rPr>
            </w:pPr>
            <w:r>
              <w:rPr>
                <w:sz w:val="22"/>
              </w:rPr>
              <w:t>See Attachment</w:t>
            </w:r>
          </w:p>
        </w:tc>
      </w:tr>
    </w:tbl>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b/>
          <w:sz w:val="22"/>
        </w:rPr>
        <w:t>Fixed Amount Details:</w:t>
      </w:r>
      <w:r>
        <w:rPr>
          <w:sz w:val="22"/>
        </w:rPr>
        <w:tab/>
        <w:tab/>
        <w:tab/>
      </w:r>
    </w:p>
    <w:p>
      <w:pPr>
        <w:pStyle w:val="Normal"/>
        <w:rPr>
          <w:sz w:val="22"/>
        </w:rPr>
      </w:pPr>
      <w:r>
        <w:rPr>
          <w:sz w:val="22"/>
        </w:rPr>
      </w:r>
    </w:p>
    <w:p>
      <w:pPr>
        <w:pStyle w:val="Normal"/>
        <w:ind w:firstLine="720" w:end="0"/>
        <w:rPr>
          <w:i/>
          <w:i/>
          <w:sz w:val="22"/>
        </w:rPr>
      </w:pPr>
      <w:r>
        <w:rPr>
          <w:sz w:val="22"/>
        </w:rPr>
        <w:t xml:space="preserve">Fixed Price Payer: </w:t>
        <w:tab/>
        <w:tab/>
        <w:tab/>
        <w:t>Party A</w:t>
      </w:r>
    </w:p>
    <w:p>
      <w:pPr>
        <w:pStyle w:val="Normal"/>
        <w:ind w:firstLine="720" w:end="0"/>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The settlement price for the last scheduled Commodity Business Day of the NYMEX Henry Hub Natural Gas Futures Contract for the applicable Calculation Period</w:t>
            </w:r>
          </w:p>
        </w:tc>
      </w:tr>
    </w:tbl>
    <w:p>
      <w:pPr>
        <w:pStyle w:val="Normal"/>
        <w:rPr>
          <w:sz w:val="22"/>
        </w:rPr>
      </w:pPr>
      <w:r>
        <w:rPr>
          <w:sz w:val="22"/>
        </w:rPr>
      </w:r>
    </w:p>
    <w:p>
      <w:pPr>
        <w:pStyle w:val="Normal"/>
        <w:rPr/>
      </w:pPr>
      <w:r>
        <w:rPr>
          <w:b/>
          <w:sz w:val="22"/>
        </w:rPr>
        <w:t>Floating Amount Details:</w:t>
      </w:r>
      <w:r>
        <w:rPr>
          <w:sz w:val="22"/>
        </w:rPr>
        <w:tab/>
        <w:tab/>
        <w:tab/>
      </w:r>
    </w:p>
    <w:p>
      <w:pPr>
        <w:pStyle w:val="Normal"/>
        <w:rPr>
          <w:sz w:val="22"/>
        </w:rPr>
      </w:pPr>
      <w:r>
        <w:rPr>
          <w:sz w:val="22"/>
        </w:rPr>
      </w:r>
    </w:p>
    <w:p>
      <w:pPr>
        <w:pStyle w:val="Normal"/>
        <w:ind w:firstLine="720" w:end="0"/>
        <w:rPr>
          <w:i/>
          <w:i/>
          <w:sz w:val="22"/>
        </w:rPr>
      </w:pPr>
      <w:r>
        <w:rPr>
          <w:sz w:val="22"/>
        </w:rPr>
        <w:t xml:space="preserve">Floating Price Payer: </w:t>
        <w:tab/>
        <w:tab/>
        <w:tab/>
        <w:t>Party B</w:t>
      </w:r>
    </w:p>
    <w:p>
      <w:pPr>
        <w:pStyle w:val="Normal"/>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t>The settlement price for the last scheduled Commodity Business Day of the NYMEX Henry Hub Natural Gas Futures Contract for the applicable Calculation Period, plus the Basis Amount as set forth in the Attachment</w:t>
            </w:r>
          </w:p>
        </w:tc>
      </w:tr>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tabs>
                <w:tab w:val="clear" w:pos="720"/>
                <w:tab w:val="left" w:pos="630" w:leader="none"/>
              </w:tabs>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r>
        <w:trPr/>
        <w:tc>
          <w:tcPr>
            <w:tcW w:w="10440" w:type="dxa"/>
            <w:gridSpan w:val="2"/>
            <w:tcBorders/>
          </w:tcPr>
          <w:p>
            <w:pPr>
              <w:pStyle w:val="Normal"/>
              <w:tabs>
                <w:tab w:val="clear" w:pos="720"/>
                <w:tab w:val="left" w:pos="630" w:leader="none"/>
              </w:tabs>
              <w:snapToGrid w:val="false"/>
              <w:jc w:val="both"/>
              <w:rPr>
                <w:sz w:val="22"/>
              </w:rPr>
            </w:pPr>
            <w:r>
              <w:rPr>
                <w:sz w:val="22"/>
              </w:rPr>
            </w:r>
          </w:p>
        </w:tc>
      </w:tr>
    </w:tbl>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sz w:val="22"/>
        </w:rPr>
        <w:tab/>
      </w:r>
      <w:r>
        <w:rPr>
          <w:b/>
          <w:sz w:val="22"/>
        </w:rPr>
        <w:t xml:space="preserve">IN WITNESS WHEREOF, </w:t>
      </w:r>
      <w:r>
        <w:rPr>
          <w:sz w:val="22"/>
        </w:rPr>
        <w:t>the Members have executed this Agreement as of the date first set forth above.</w:t>
      </w:r>
    </w:p>
    <w:p>
      <w:pPr>
        <w:pStyle w:val="Normal"/>
        <w:rPr>
          <w:sz w:val="22"/>
        </w:rPr>
      </w:pPr>
      <w:r>
        <w:rPr>
          <w:sz w:val="22"/>
        </w:rPr>
      </w:r>
    </w:p>
    <w:p>
      <w:pPr>
        <w:pStyle w:val="Normal"/>
        <w:ind w:firstLine="720" w:start="1440" w:end="0"/>
        <w:rPr>
          <w:b/>
          <w:sz w:val="22"/>
        </w:rPr>
      </w:pPr>
      <w:r>
        <w:rPr>
          <w:b/>
          <w:sz w:val="22"/>
        </w:rPr>
        <w:tab/>
        <w:tab/>
        <w:tab/>
        <w:tab/>
        <w:t>MESQUITE INVESTORS, L.L.C.</w:t>
      </w:r>
    </w:p>
    <w:p>
      <w:pPr>
        <w:pStyle w:val="Normal"/>
        <w:rPr>
          <w:b/>
          <w:sz w:val="22"/>
        </w:rPr>
      </w:pPr>
      <w:r>
        <w:rPr>
          <w:b/>
          <w:sz w:val="22"/>
        </w:rPr>
      </w:r>
    </w:p>
    <w:p>
      <w:pPr>
        <w:pStyle w:val="Normal"/>
        <w:rPr/>
      </w:pPr>
      <w:r>
        <w:rPr>
          <w:b/>
          <w:sz w:val="22"/>
        </w:rPr>
        <w:tab/>
        <w:tab/>
        <w:tab/>
        <w:tab/>
        <w:tab/>
        <w:tab/>
        <w:tab/>
      </w:r>
      <w:r>
        <w:rPr>
          <w:sz w:val="22"/>
        </w:rPr>
        <w:t>By:</w:t>
        <w:tab/>
        <w:t>Chaparral Investors, L.L.C., its sole member</w:t>
      </w:r>
    </w:p>
    <w:p>
      <w:pPr>
        <w:pStyle w:val="Normal"/>
        <w:rPr>
          <w:sz w:val="22"/>
        </w:rPr>
      </w:pPr>
      <w:r>
        <w:rPr>
          <w:sz w:val="22"/>
        </w:rPr>
      </w:r>
    </w:p>
    <w:p>
      <w:pPr>
        <w:pStyle w:val="Normal"/>
        <w:rPr>
          <w:sz w:val="22"/>
        </w:rPr>
      </w:pPr>
      <w:r>
        <w:rPr>
          <w:sz w:val="22"/>
        </w:rPr>
        <w:tab/>
        <w:tab/>
        <w:tab/>
        <w:tab/>
        <w:tab/>
        <w:tab/>
        <w:tab/>
        <w:t>By:</w:t>
        <w:tab/>
        <w:t>El Paso Chaparral Investor, L.L.C., its sole</w:t>
      </w:r>
    </w:p>
    <w:p>
      <w:pPr>
        <w:pStyle w:val="Normal"/>
        <w:ind w:firstLine="720" w:start="5040" w:end="0"/>
        <w:rPr>
          <w:sz w:val="22"/>
        </w:rPr>
      </w:pPr>
      <w:r>
        <w:rPr>
          <w:sz w:val="22"/>
        </w:rPr>
        <w:t>member</w:t>
      </w:r>
    </w:p>
    <w:p>
      <w:pPr>
        <w:pStyle w:val="Normal"/>
        <w:rPr>
          <w:sz w:val="22"/>
        </w:rPr>
      </w:pPr>
      <w:r>
        <w:rPr>
          <w:sz w:val="22"/>
        </w:rPr>
      </w:r>
    </w:p>
    <w:p>
      <w:pPr>
        <w:pStyle w:val="Normal"/>
        <w:rPr>
          <w:sz w:val="22"/>
        </w:rPr>
      </w:pPr>
      <w:r>
        <w:rPr>
          <w:sz w:val="22"/>
        </w:rPr>
        <w:tab/>
        <w:tab/>
        <w:tab/>
        <w:tab/>
        <w:tab/>
        <w:tab/>
        <w:tab/>
        <w:t xml:space="preserve">By: </w:t>
        <w:tab/>
        <w:t>El Paso Chaparral Holding Company, its sole</w:t>
      </w:r>
    </w:p>
    <w:p>
      <w:pPr>
        <w:pStyle w:val="Normal"/>
        <w:rPr>
          <w:sz w:val="22"/>
        </w:rPr>
      </w:pPr>
      <w:r>
        <w:rPr>
          <w:sz w:val="22"/>
        </w:rPr>
        <w:tab/>
        <w:tab/>
        <w:tab/>
        <w:tab/>
        <w:tab/>
        <w:tab/>
        <w:tab/>
        <w:tab/>
        <w:t>member</w:t>
      </w:r>
    </w:p>
    <w:p>
      <w:pPr>
        <w:pStyle w:val="Normal"/>
        <w:rPr>
          <w:sz w:val="22"/>
        </w:rPr>
      </w:pPr>
      <w:r>
        <w:rPr>
          <w:sz w:val="22"/>
        </w:rPr>
      </w:r>
    </w:p>
    <w:p>
      <w:pPr>
        <w:pStyle w:val="Normal"/>
        <w:spacing w:lineRule="auto" w:line="360"/>
        <w:rPr>
          <w:sz w:val="22"/>
        </w:rPr>
      </w:pPr>
      <w:r>
        <w:rPr>
          <w:sz w:val="22"/>
        </w:rPr>
        <w:tab/>
        <w:tab/>
        <w:tab/>
        <w:tab/>
        <w:tab/>
        <w:tab/>
        <w:tab/>
        <w:tab/>
        <w:t>By:     _______________________________</w:t>
      </w:r>
    </w:p>
    <w:p>
      <w:pPr>
        <w:pStyle w:val="Normal"/>
        <w:spacing w:lineRule="auto" w:line="360"/>
        <w:rPr>
          <w:sz w:val="22"/>
        </w:rPr>
      </w:pPr>
      <w:r>
        <w:rPr>
          <w:sz w:val="22"/>
        </w:rPr>
        <w:tab/>
        <w:tab/>
        <w:tab/>
        <w:tab/>
        <w:tab/>
        <w:tab/>
        <w:tab/>
        <w:tab/>
        <w:t>Name:_______________________________</w:t>
      </w:r>
    </w:p>
    <w:p>
      <w:pPr>
        <w:pStyle w:val="Normal"/>
        <w:spacing w:lineRule="auto" w:line="360"/>
        <w:rPr>
          <w:sz w:val="22"/>
        </w:rPr>
      </w:pPr>
      <w:r>
        <w:rPr>
          <w:sz w:val="22"/>
        </w:rPr>
        <w:tab/>
        <w:tab/>
        <w:tab/>
        <w:tab/>
        <w:tab/>
        <w:tab/>
        <w:tab/>
        <w:tab/>
        <w:t>Title:  _______________________________</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b/>
          <w:sz w:val="22"/>
        </w:rPr>
      </w:pPr>
      <w:r>
        <w:rPr>
          <w:b/>
          <w:sz w:val="22"/>
        </w:rPr>
      </w:r>
    </w:p>
    <w:p>
      <w:pPr>
        <w:pStyle w:val="Normal"/>
        <w:rPr>
          <w:b/>
          <w:sz w:val="22"/>
        </w:rPr>
      </w:pPr>
      <w:r>
        <w:rPr>
          <w:b/>
          <w:sz w:val="22"/>
        </w:rPr>
      </w:r>
    </w:p>
    <w:p>
      <w:pPr>
        <w:pStyle w:val="Normal"/>
        <w:spacing w:lineRule="auto" w:line="360"/>
        <w:rPr>
          <w:b/>
          <w:sz w:val="22"/>
        </w:rPr>
      </w:pPr>
      <w:r>
        <w:rPr>
          <w:b/>
          <w:sz w:val="22"/>
        </w:rPr>
        <w:tab/>
        <w:tab/>
        <w:tab/>
        <w:tab/>
        <w:tab/>
        <w:tab/>
        <w:tab/>
        <w:t>EL PASO MERCHANT ENERGY-GAS, L.P.</w:t>
      </w:r>
    </w:p>
    <w:p>
      <w:pPr>
        <w:pStyle w:val="BodyTextIndent"/>
        <w:rPr/>
      </w:pPr>
      <w:r>
        <w:rPr/>
        <w:t>By:</w:t>
        <w:tab/>
        <w:t>El Paso Merchant Energy-Gas Company, its General Partner</w:t>
      </w:r>
    </w:p>
    <w:p>
      <w:pPr>
        <w:pStyle w:val="Normal"/>
        <w:spacing w:lineRule="auto" w:line="360"/>
        <w:ind w:firstLine="720" w:start="5040" w:end="0"/>
        <w:rPr>
          <w:sz w:val="22"/>
        </w:rPr>
      </w:pPr>
      <w:r>
        <w:rPr>
          <w:sz w:val="22"/>
        </w:rPr>
        <w:t>By:     _______________________________</w:t>
      </w:r>
    </w:p>
    <w:p>
      <w:pPr>
        <w:pStyle w:val="Normal"/>
        <w:spacing w:lineRule="auto" w:line="360"/>
        <w:rPr>
          <w:sz w:val="22"/>
        </w:rPr>
      </w:pPr>
      <w:r>
        <w:rPr>
          <w:sz w:val="22"/>
        </w:rPr>
        <w:tab/>
        <w:tab/>
        <w:tab/>
        <w:tab/>
        <w:tab/>
        <w:tab/>
        <w:tab/>
        <w:tab/>
        <w:t>Name:_______________________________</w:t>
      </w:r>
    </w:p>
    <w:p>
      <w:pPr>
        <w:pStyle w:val="Normal"/>
        <w:tabs>
          <w:tab w:val="clear" w:pos="720"/>
          <w:tab w:val="left" w:pos="5760" w:leader="none"/>
        </w:tabs>
        <w:spacing w:lineRule="auto" w:line="360"/>
        <w:ind w:hanging="720" w:start="5760" w:end="0"/>
        <w:rPr>
          <w:sz w:val="22"/>
        </w:rPr>
      </w:pPr>
      <w:r>
        <w:rPr>
          <w:sz w:val="22"/>
        </w:rPr>
        <w:tab/>
        <w:t>Title:  _______________________________</w:t>
      </w:r>
      <w:r>
        <w:br w:type="page"/>
      </w:r>
    </w:p>
    <w:p>
      <w:pPr>
        <w:pStyle w:val="Normal"/>
        <w:tabs>
          <w:tab w:val="clear" w:pos="720"/>
          <w:tab w:val="left" w:pos="5760" w:leader="none"/>
        </w:tabs>
        <w:spacing w:lineRule="auto" w:line="360"/>
        <w:ind w:hanging="720" w:start="5760" w:end="0"/>
        <w:rPr>
          <w:b/>
          <w:sz w:val="22"/>
        </w:rPr>
      </w:pPr>
      <w:r>
        <w:rPr>
          <w:b/>
          <w:sz w:val="22"/>
        </w:rPr>
      </w:r>
    </w:p>
    <w:p>
      <w:pPr>
        <w:pStyle w:val="Normal"/>
        <w:tabs>
          <w:tab w:val="clear" w:pos="720"/>
          <w:tab w:val="left" w:pos="5760" w:leader="none"/>
        </w:tabs>
        <w:spacing w:lineRule="auto" w:line="360"/>
        <w:ind w:hanging="720" w:start="5760" w:end="0"/>
        <w:rPr>
          <w:b/>
          <w:sz w:val="22"/>
        </w:rPr>
      </w:pPr>
      <w:r>
        <w:rPr>
          <w:b/>
          <w:sz w:val="22"/>
        </w:rPr>
        <w:t>Attachment</w:t>
      </w:r>
    </w:p>
    <w:p>
      <w:pPr>
        <w:pStyle w:val="Normal"/>
        <w:jc w:val="center"/>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558"/>
        <w:gridCol w:w="1980"/>
        <w:gridCol w:w="414"/>
        <w:gridCol w:w="36"/>
        <w:gridCol w:w="2880"/>
        <w:gridCol w:w="36"/>
        <w:gridCol w:w="2844"/>
        <w:gridCol w:w="90"/>
        <w:gridCol w:w="18"/>
      </w:tblGrid>
      <w:tr>
        <w:trPr/>
        <w:tc>
          <w:tcPr>
            <w:tcW w:w="2952" w:type="dxa"/>
            <w:gridSpan w:val="3"/>
            <w:tcBorders/>
          </w:tcPr>
          <w:p>
            <w:pPr>
              <w:pStyle w:val="Normal"/>
              <w:rPr>
                <w:b/>
                <w:sz w:val="22"/>
              </w:rPr>
            </w:pPr>
            <w:r>
              <w:rPr>
                <w:b/>
                <w:sz w:val="22"/>
              </w:rPr>
              <w:t>Quantity Measurement:</w:t>
            </w:r>
          </w:p>
        </w:tc>
        <w:tc>
          <w:tcPr>
            <w:tcW w:w="2952" w:type="dxa"/>
            <w:gridSpan w:val="3"/>
            <w:tcBorders/>
          </w:tcPr>
          <w:p>
            <w:pPr>
              <w:pStyle w:val="Normal"/>
              <w:rPr>
                <w:b/>
                <w:sz w:val="22"/>
              </w:rPr>
            </w:pPr>
            <w:r>
              <w:rPr>
                <w:b/>
                <w:sz w:val="22"/>
              </w:rPr>
              <w:t>MMBtu</w:t>
            </w:r>
          </w:p>
        </w:tc>
        <w:tc>
          <w:tcPr>
            <w:tcW w:w="2952" w:type="dxa"/>
            <w:gridSpan w:val="2"/>
            <w:tcBorders/>
          </w:tcPr>
          <w:p>
            <w:pPr>
              <w:pStyle w:val="Normal"/>
              <w:snapToGrid w:val="false"/>
              <w:rPr>
                <w:b/>
                <w:sz w:val="22"/>
              </w:rPr>
            </w:pPr>
            <w:r>
              <w:rPr>
                <w:b/>
                <w:sz w:val="22"/>
              </w:rPr>
            </w:r>
          </w:p>
        </w:tc>
      </w:tr>
      <w:tr>
        <w:trPr>
          <w:trHeight w:val="630" w:hRule="atLeast"/>
        </w:trPr>
        <w:tc>
          <w:tcPr>
            <w:tcW w:w="2952" w:type="dxa"/>
            <w:gridSpan w:val="3"/>
            <w:tcBorders/>
          </w:tcPr>
          <w:p>
            <w:pPr>
              <w:pStyle w:val="Normal"/>
              <w:snapToGrid w:val="false"/>
              <w:rPr>
                <w:sz w:val="22"/>
              </w:rPr>
            </w:pPr>
            <w:r>
              <w:rPr>
                <w:sz w:val="22"/>
              </w:rPr>
            </w:r>
          </w:p>
        </w:tc>
        <w:tc>
          <w:tcPr>
            <w:tcW w:w="2952" w:type="dxa"/>
            <w:gridSpan w:val="3"/>
            <w:tcBorders/>
          </w:tcPr>
          <w:p>
            <w:pPr>
              <w:pStyle w:val="Normal"/>
              <w:snapToGrid w:val="false"/>
              <w:rPr>
                <w:sz w:val="22"/>
              </w:rPr>
            </w:pPr>
            <w:r>
              <w:rPr>
                <w:sz w:val="22"/>
              </w:rPr>
            </w:r>
          </w:p>
        </w:tc>
        <w:tc>
          <w:tcPr>
            <w:tcW w:w="2952" w:type="dxa"/>
            <w:gridSpan w:val="2"/>
            <w:tcBorders/>
          </w:tcPr>
          <w:p>
            <w:pPr>
              <w:pStyle w:val="Normal"/>
              <w:snapToGrid w:val="false"/>
              <w:rPr>
                <w:sz w:val="22"/>
              </w:rPr>
            </w:pPr>
            <w:r>
              <w:rPr>
                <w:sz w:val="22"/>
              </w:rPr>
            </w:r>
          </w:p>
        </w:tc>
      </w:tr>
      <w:tr>
        <w:trPr/>
        <w:tc>
          <w:tcPr>
            <w:tcW w:w="2952" w:type="dxa"/>
            <w:gridSpan w:val="3"/>
            <w:tcBorders/>
          </w:tcPr>
          <w:p>
            <w:pPr>
              <w:pStyle w:val="Normal"/>
              <w:snapToGrid w:val="false"/>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Calculation Period</w:t>
            </w:r>
          </w:p>
        </w:tc>
        <w:tc>
          <w:tcPr>
            <w:tcW w:w="2952" w:type="dxa"/>
            <w:gridSpan w:val="3"/>
            <w:tcBorders/>
          </w:tcPr>
          <w:p>
            <w:pPr>
              <w:pStyle w:val="Normal"/>
              <w:snapToGrid w:val="false"/>
              <w:jc w:val="center"/>
              <w:rPr>
                <w:b/>
                <w:sz w:val="22"/>
              </w:rPr>
            </w:pPr>
            <w:r>
              <w:rPr>
                <w:b/>
                <w:sz w:val="22"/>
              </w:rPr>
            </w:r>
          </w:p>
          <w:p>
            <w:pPr>
              <w:pStyle w:val="Heading1"/>
              <w:ind w:hanging="0" w:start="0"/>
              <w:rPr>
                <w:u w:val="none"/>
              </w:rPr>
            </w:pPr>
            <w:r>
              <w:rPr>
                <w:u w:val="none"/>
              </w:rPr>
              <w:t>Basis Amount</w:t>
            </w:r>
          </w:p>
          <w:p>
            <w:pPr>
              <w:pStyle w:val="Normal"/>
              <w:jc w:val="center"/>
              <w:rPr>
                <w:b/>
              </w:rPr>
            </w:pPr>
            <w:r>
              <w:rPr>
                <w:b/>
              </w:rPr>
              <w:t>(per MMBtu)</w:t>
            </w:r>
          </w:p>
        </w:tc>
        <w:tc>
          <w:tcPr>
            <w:tcW w:w="2952" w:type="dxa"/>
            <w:gridSpan w:val="2"/>
            <w:tcBorders/>
          </w:tcPr>
          <w:p>
            <w:pPr>
              <w:pStyle w:val="Normal"/>
              <w:snapToGrid w:val="false"/>
              <w:jc w:val="center"/>
              <w:rPr>
                <w:b/>
                <w:sz w:val="22"/>
              </w:rPr>
            </w:pPr>
            <w:r>
              <w:rPr>
                <w:b/>
                <w:sz w:val="22"/>
              </w:rPr>
            </w:r>
          </w:p>
          <w:p>
            <w:pPr>
              <w:pStyle w:val="Heading2"/>
              <w:ind w:hanging="0" w:start="0"/>
              <w:rPr>
                <w:b w:val="false"/>
                <w:sz w:val="22"/>
              </w:rPr>
            </w:pPr>
            <w:r>
              <w:rPr>
                <w:b w:val="false"/>
                <w:sz w:val="22"/>
              </w:rPr>
            </w:r>
          </w:p>
          <w:p>
            <w:pPr>
              <w:pStyle w:val="Heading2"/>
              <w:ind w:hanging="0" w:start="0"/>
              <w:rPr>
                <w:b w:val="false"/>
              </w:rPr>
            </w:pPr>
            <w:r>
              <w:rPr/>
              <w:t>Payment Date</w:t>
            </w:r>
          </w:p>
        </w:tc>
      </w:tr>
      <w:tr>
        <w:trPr/>
        <w:tc>
          <w:tcPr>
            <w:tcW w:w="2952" w:type="dxa"/>
            <w:gridSpan w:val="3"/>
            <w:tcBorders/>
          </w:tcPr>
          <w:p>
            <w:pPr>
              <w:pStyle w:val="Normal"/>
              <w:jc w:val="center"/>
              <w:rPr>
                <w:sz w:val="22"/>
              </w:rPr>
            </w:pPr>
            <w:r>
              <w:rPr>
                <w:sz w:val="22"/>
              </w:rPr>
              <w:t>-----------------------</w:t>
            </w:r>
          </w:p>
        </w:tc>
        <w:tc>
          <w:tcPr>
            <w:tcW w:w="2952" w:type="dxa"/>
            <w:gridSpan w:val="3"/>
            <w:tcBorders/>
          </w:tcPr>
          <w:p>
            <w:pPr>
              <w:pStyle w:val="Normal"/>
              <w:jc w:val="center"/>
              <w:rPr>
                <w:sz w:val="22"/>
              </w:rPr>
            </w:pPr>
            <w:r>
              <w:rPr>
                <w:sz w:val="22"/>
              </w:rPr>
              <w:t>------------------------</w:t>
            </w:r>
          </w:p>
        </w:tc>
        <w:tc>
          <w:tcPr>
            <w:tcW w:w="2952" w:type="dxa"/>
            <w:gridSpan w:val="2"/>
            <w:tcBorders/>
          </w:tcPr>
          <w:p>
            <w:pPr>
              <w:pStyle w:val="Normal"/>
              <w:jc w:val="center"/>
              <w:rPr>
                <w:sz w:val="22"/>
              </w:rPr>
            </w:pPr>
            <w:r>
              <w:rPr>
                <w:sz w:val="22"/>
              </w:rPr>
              <w:t>------------------</w:t>
            </w:r>
          </w:p>
        </w:tc>
      </w:tr>
      <w:tr>
        <w:trPr>
          <w:trHeight w:val="249" w:hRule="atLeast"/>
        </w:trPr>
        <w:tc>
          <w:tcPr>
            <w:tcW w:w="558" w:type="dxa"/>
            <w:tcBorders/>
            <w:tcMar>
              <w:start w:w="0" w:type="dxa"/>
              <w:end w:w="0" w:type="dxa"/>
            </w:tcMar>
          </w:tcPr>
          <w:p>
            <w:pPr>
              <w:pStyle w:val="Normal"/>
              <w:rPr>
                <w:sz w:val="22"/>
              </w:rPr>
            </w:pPr>
            <w:r>
              <w:rPr>
                <w:sz w:val="22"/>
              </w:rPr>
            </w:r>
          </w:p>
        </w:tc>
        <w:tc>
          <w:tcPr>
            <w:tcW w:w="1980" w:type="dxa"/>
            <w:tcBorders/>
            <w:tcMar>
              <w:start w:w="30" w:type="dxa"/>
              <w:end w:w="30" w:type="dxa"/>
            </w:tcMar>
          </w:tcPr>
          <w:p>
            <w:pPr>
              <w:pStyle w:val="Normal"/>
              <w:rPr>
                <w:color w:val="000000"/>
                <w:sz w:val="22"/>
              </w:rPr>
            </w:pPr>
            <w:r>
              <w:rPr>
                <w:color w:val="000000"/>
                <w:sz w:val="22"/>
              </w:rPr>
              <w:t>January ,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$0.52840</w:t>
            </w:r>
          </w:p>
        </w:tc>
        <w:tc>
          <w:tcPr>
            <w:tcW w:w="2880" w:type="dxa"/>
            <w:gridSpan w:val="2"/>
            <w:tcBorders/>
            <w:tcMar>
              <w:start w:w="30" w:type="dxa"/>
              <w:end w:w="30" w:type="dxa"/>
            </w:tcMar>
          </w:tcPr>
          <w:p>
            <w:pPr>
              <w:pStyle w:val="Normal"/>
              <w:ind w:start="780" w:end="0"/>
              <w:rPr>
                <w:color w:val="000000"/>
                <w:sz w:val="22"/>
              </w:rPr>
            </w:pPr>
            <w:r>
              <w:rPr>
                <w:color w:val="000000"/>
                <w:sz w:val="22"/>
              </w:rPr>
              <w:t>May 15, 2001</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February,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$0.52840</w:t>
            </w:r>
          </w:p>
        </w:tc>
        <w:tc>
          <w:tcPr>
            <w:tcW w:w="2880" w:type="dxa"/>
            <w:gridSpan w:val="2"/>
            <w:tcBorders/>
            <w:tcMar>
              <w:start w:w="30" w:type="dxa"/>
              <w:end w:w="30" w:type="dxa"/>
            </w:tcMar>
          </w:tcPr>
          <w:p>
            <w:pPr>
              <w:pStyle w:val="Normal"/>
              <w:ind w:start="780" w:end="0"/>
              <w:rPr>
                <w:color w:val="000000"/>
                <w:sz w:val="22"/>
              </w:rPr>
            </w:pPr>
            <w:r>
              <w:rPr>
                <w:color w:val="000000"/>
                <w:sz w:val="22"/>
              </w:rPr>
              <w:t>May 15, 2001</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March,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$0.52840</w:t>
            </w:r>
          </w:p>
        </w:tc>
        <w:tc>
          <w:tcPr>
            <w:tcW w:w="2880" w:type="dxa"/>
            <w:gridSpan w:val="2"/>
            <w:tcBorders/>
            <w:tcMar>
              <w:start w:w="30" w:type="dxa"/>
              <w:end w:w="30" w:type="dxa"/>
            </w:tcMar>
          </w:tcPr>
          <w:p>
            <w:pPr>
              <w:pStyle w:val="Normal"/>
              <w:ind w:start="780" w:end="0"/>
              <w:rPr>
                <w:color w:val="000000"/>
                <w:sz w:val="22"/>
              </w:rPr>
            </w:pPr>
            <w:r>
              <w:rPr>
                <w:color w:val="000000"/>
                <w:sz w:val="22"/>
              </w:rPr>
              <w:t>May 15, 2001</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April,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$0.52910</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2001</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May,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$0.52910</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2001</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June,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$0.52910</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2001</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July,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$0.52990</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2001</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August,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$0.52990</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2001</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September,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$0.52990</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2001</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October,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$0.53650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2002</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November,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$0.53650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2002</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December,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$0.53650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2002</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January ,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$0.55530</w:t>
            </w:r>
          </w:p>
        </w:tc>
        <w:tc>
          <w:tcPr>
            <w:tcW w:w="2880" w:type="dxa"/>
            <w:gridSpan w:val="2"/>
            <w:tcBorders/>
            <w:tcMar>
              <w:start w:w="30" w:type="dxa"/>
              <w:end w:w="30" w:type="dxa"/>
            </w:tcMar>
          </w:tcPr>
          <w:p>
            <w:pPr>
              <w:pStyle w:val="Normal"/>
              <w:ind w:start="780" w:end="0"/>
              <w:rPr>
                <w:color w:val="000000"/>
                <w:sz w:val="22"/>
              </w:rPr>
            </w:pPr>
            <w:r>
              <w:rPr>
                <w:color w:val="000000"/>
                <w:sz w:val="22"/>
              </w:rPr>
              <w:t>May 15, 2002</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February,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$0.55530</w:t>
            </w:r>
          </w:p>
        </w:tc>
        <w:tc>
          <w:tcPr>
            <w:tcW w:w="2880" w:type="dxa"/>
            <w:gridSpan w:val="2"/>
            <w:tcBorders/>
            <w:tcMar>
              <w:start w:w="30" w:type="dxa"/>
              <w:end w:w="30" w:type="dxa"/>
            </w:tcMar>
          </w:tcPr>
          <w:p>
            <w:pPr>
              <w:pStyle w:val="Normal"/>
              <w:ind w:start="780" w:end="0"/>
              <w:rPr>
                <w:color w:val="000000"/>
                <w:sz w:val="22"/>
              </w:rPr>
            </w:pPr>
            <w:r>
              <w:rPr>
                <w:color w:val="000000"/>
                <w:sz w:val="22"/>
              </w:rPr>
              <w:t>May 15, 2002</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March,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$0.55530</w:t>
            </w:r>
          </w:p>
        </w:tc>
        <w:tc>
          <w:tcPr>
            <w:tcW w:w="2880" w:type="dxa"/>
            <w:gridSpan w:val="2"/>
            <w:tcBorders/>
            <w:tcMar>
              <w:start w:w="30" w:type="dxa"/>
              <w:end w:w="30" w:type="dxa"/>
            </w:tcMar>
          </w:tcPr>
          <w:p>
            <w:pPr>
              <w:pStyle w:val="Normal"/>
              <w:ind w:start="780" w:end="0"/>
              <w:rPr>
                <w:color w:val="000000"/>
                <w:sz w:val="22"/>
              </w:rPr>
            </w:pPr>
            <w:r>
              <w:rPr>
                <w:color w:val="000000"/>
                <w:sz w:val="22"/>
              </w:rPr>
              <w:t>May 15, 2002</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April,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$0.55610</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2002</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May,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$0.55610</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2002</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June,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$0.55610</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2002</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July,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$0.55690</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2002</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August,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$0.55690</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2002</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September,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$0.55690</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2002</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October,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$0.56390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2003</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November,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$0.56390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2003</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December,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$0.56390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2003</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January ,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$0.58360</w:t>
            </w:r>
          </w:p>
        </w:tc>
        <w:tc>
          <w:tcPr>
            <w:tcW w:w="2880" w:type="dxa"/>
            <w:gridSpan w:val="2"/>
            <w:tcBorders/>
            <w:tcMar>
              <w:start w:w="30" w:type="dxa"/>
              <w:end w:w="30" w:type="dxa"/>
            </w:tcMar>
          </w:tcPr>
          <w:p>
            <w:pPr>
              <w:pStyle w:val="Normal"/>
              <w:ind w:start="780" w:end="0"/>
              <w:rPr>
                <w:color w:val="000000"/>
                <w:sz w:val="22"/>
              </w:rPr>
            </w:pPr>
            <w:r>
              <w:rPr>
                <w:color w:val="000000"/>
                <w:sz w:val="22"/>
              </w:rPr>
              <w:t>May 15, 2003</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February,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$0.58360</w:t>
            </w:r>
          </w:p>
        </w:tc>
        <w:tc>
          <w:tcPr>
            <w:tcW w:w="2880" w:type="dxa"/>
            <w:gridSpan w:val="2"/>
            <w:tcBorders/>
            <w:tcMar>
              <w:start w:w="30" w:type="dxa"/>
              <w:end w:w="30" w:type="dxa"/>
            </w:tcMar>
          </w:tcPr>
          <w:p>
            <w:pPr>
              <w:pStyle w:val="Normal"/>
              <w:ind w:start="780" w:end="0"/>
              <w:rPr>
                <w:color w:val="000000"/>
                <w:sz w:val="22"/>
              </w:rPr>
            </w:pPr>
            <w:r>
              <w:rPr>
                <w:color w:val="000000"/>
                <w:sz w:val="22"/>
              </w:rPr>
              <w:t>May 15, 2003</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March,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$0.58360</w:t>
            </w:r>
          </w:p>
        </w:tc>
        <w:tc>
          <w:tcPr>
            <w:tcW w:w="2880" w:type="dxa"/>
            <w:gridSpan w:val="2"/>
            <w:tcBorders/>
            <w:tcMar>
              <w:start w:w="30" w:type="dxa"/>
              <w:end w:w="30" w:type="dxa"/>
            </w:tcMar>
          </w:tcPr>
          <w:p>
            <w:pPr>
              <w:pStyle w:val="Normal"/>
              <w:ind w:start="780" w:end="0"/>
              <w:rPr>
                <w:color w:val="000000"/>
                <w:sz w:val="22"/>
              </w:rPr>
            </w:pPr>
            <w:r>
              <w:rPr>
                <w:color w:val="000000"/>
                <w:sz w:val="22"/>
              </w:rPr>
              <w:t>May 15, 2003</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April,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$0.58440</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2003</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May,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$0.58440</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2003</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June,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$0.58440</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2003</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July,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$0.58530</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2003</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August,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$0.58530</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2003</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September,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$0.58530</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2003</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October,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$0.59260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2004</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November,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$0.59260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2004</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December,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$0.59260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2004</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January ,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$0.60660</w:t>
            </w:r>
          </w:p>
        </w:tc>
        <w:tc>
          <w:tcPr>
            <w:tcW w:w="2880" w:type="dxa"/>
            <w:gridSpan w:val="2"/>
            <w:tcBorders/>
            <w:tcMar>
              <w:start w:w="30" w:type="dxa"/>
              <w:end w:w="30" w:type="dxa"/>
            </w:tcMar>
          </w:tcPr>
          <w:p>
            <w:pPr>
              <w:pStyle w:val="Normal"/>
              <w:ind w:start="780" w:end="0"/>
              <w:rPr>
                <w:color w:val="000000"/>
                <w:sz w:val="22"/>
              </w:rPr>
            </w:pPr>
            <w:r>
              <w:rPr>
                <w:color w:val="000000"/>
                <w:sz w:val="22"/>
              </w:rPr>
              <w:t>May 15, 2004</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February,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$0.60660</w:t>
            </w:r>
          </w:p>
        </w:tc>
        <w:tc>
          <w:tcPr>
            <w:tcW w:w="2880" w:type="dxa"/>
            <w:gridSpan w:val="2"/>
            <w:tcBorders/>
            <w:tcMar>
              <w:start w:w="30" w:type="dxa"/>
              <w:end w:w="30" w:type="dxa"/>
            </w:tcMar>
          </w:tcPr>
          <w:p>
            <w:pPr>
              <w:pStyle w:val="Normal"/>
              <w:ind w:start="780" w:end="0"/>
              <w:rPr>
                <w:color w:val="000000"/>
                <w:sz w:val="22"/>
              </w:rPr>
            </w:pPr>
            <w:r>
              <w:rPr>
                <w:color w:val="000000"/>
                <w:sz w:val="22"/>
              </w:rPr>
              <w:t>May 15, 2004</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March,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$0.60660</w:t>
            </w:r>
          </w:p>
        </w:tc>
        <w:tc>
          <w:tcPr>
            <w:tcW w:w="2880" w:type="dxa"/>
            <w:gridSpan w:val="2"/>
            <w:tcBorders/>
            <w:tcMar>
              <w:start w:w="30" w:type="dxa"/>
              <w:end w:w="30" w:type="dxa"/>
            </w:tcMar>
          </w:tcPr>
          <w:p>
            <w:pPr>
              <w:pStyle w:val="Normal"/>
              <w:ind w:start="780" w:end="0"/>
              <w:rPr>
                <w:color w:val="000000"/>
                <w:sz w:val="22"/>
              </w:rPr>
            </w:pPr>
            <w:r>
              <w:rPr>
                <w:color w:val="000000"/>
                <w:sz w:val="22"/>
              </w:rPr>
              <w:t>May 15, 2004</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April,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$0.61420</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2004</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May,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$0.61420</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2004</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June,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$0.61420</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2004</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July,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$0.61510</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2004</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August,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$0.61510</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2004</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September,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$0.61510</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2004</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October,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$0.62280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2005</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November,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$0.62280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2005</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December,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$0.62280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2005</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January ,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$0.64460</w:t>
            </w:r>
          </w:p>
        </w:tc>
        <w:tc>
          <w:tcPr>
            <w:tcW w:w="2880" w:type="dxa"/>
            <w:gridSpan w:val="2"/>
            <w:tcBorders/>
            <w:tcMar>
              <w:start w:w="30" w:type="dxa"/>
              <w:end w:w="30" w:type="dxa"/>
            </w:tcMar>
          </w:tcPr>
          <w:p>
            <w:pPr>
              <w:pStyle w:val="Normal"/>
              <w:ind w:start="780" w:end="0"/>
              <w:rPr>
                <w:color w:val="000000"/>
                <w:sz w:val="22"/>
              </w:rPr>
            </w:pPr>
            <w:r>
              <w:rPr>
                <w:color w:val="000000"/>
                <w:sz w:val="22"/>
              </w:rPr>
              <w:t>May 15, 2005</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February,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$0.64460</w:t>
            </w:r>
          </w:p>
        </w:tc>
        <w:tc>
          <w:tcPr>
            <w:tcW w:w="2880" w:type="dxa"/>
            <w:gridSpan w:val="2"/>
            <w:tcBorders/>
            <w:tcMar>
              <w:start w:w="30" w:type="dxa"/>
              <w:end w:w="30" w:type="dxa"/>
            </w:tcMar>
          </w:tcPr>
          <w:p>
            <w:pPr>
              <w:pStyle w:val="Normal"/>
              <w:ind w:start="780" w:end="0"/>
              <w:rPr>
                <w:color w:val="000000"/>
                <w:sz w:val="22"/>
              </w:rPr>
            </w:pPr>
            <w:r>
              <w:rPr>
                <w:color w:val="000000"/>
                <w:sz w:val="22"/>
              </w:rPr>
              <w:t>May 15, 2005</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March,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$0.64460</w:t>
            </w:r>
          </w:p>
        </w:tc>
        <w:tc>
          <w:tcPr>
            <w:tcW w:w="2880" w:type="dxa"/>
            <w:gridSpan w:val="2"/>
            <w:tcBorders/>
            <w:tcMar>
              <w:start w:w="30" w:type="dxa"/>
              <w:end w:w="30" w:type="dxa"/>
            </w:tcMar>
          </w:tcPr>
          <w:p>
            <w:pPr>
              <w:pStyle w:val="Normal"/>
              <w:ind w:start="780" w:end="0"/>
              <w:rPr>
                <w:color w:val="000000"/>
                <w:sz w:val="22"/>
              </w:rPr>
            </w:pPr>
            <w:r>
              <w:rPr>
                <w:color w:val="000000"/>
                <w:sz w:val="22"/>
              </w:rPr>
              <w:t>May 15, 2005</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April,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$0.64550</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2005</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May,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$0.64550</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2005</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June,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$0.64550</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2005</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July,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$0.64640</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2005</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August,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$0.64640</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2005</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September,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$0.64640</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2005</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October,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$0.65450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2006</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November,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$0.65450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2006</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December,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$0.65450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2006</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January ,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$0.67740</w:t>
            </w:r>
          </w:p>
        </w:tc>
        <w:tc>
          <w:tcPr>
            <w:tcW w:w="2880" w:type="dxa"/>
            <w:gridSpan w:val="2"/>
            <w:tcBorders/>
            <w:tcMar>
              <w:start w:w="30" w:type="dxa"/>
              <w:end w:w="30" w:type="dxa"/>
            </w:tcMar>
          </w:tcPr>
          <w:p>
            <w:pPr>
              <w:pStyle w:val="Normal"/>
              <w:ind w:start="780" w:end="0"/>
              <w:rPr>
                <w:color w:val="000000"/>
                <w:sz w:val="22"/>
              </w:rPr>
            </w:pPr>
            <w:r>
              <w:rPr>
                <w:color w:val="000000"/>
                <w:sz w:val="22"/>
              </w:rPr>
              <w:t>May 15, 2006</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February,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$0.67740</w:t>
            </w:r>
          </w:p>
        </w:tc>
        <w:tc>
          <w:tcPr>
            <w:tcW w:w="2880" w:type="dxa"/>
            <w:gridSpan w:val="2"/>
            <w:tcBorders/>
            <w:tcMar>
              <w:start w:w="30" w:type="dxa"/>
              <w:end w:w="30" w:type="dxa"/>
            </w:tcMar>
          </w:tcPr>
          <w:p>
            <w:pPr>
              <w:pStyle w:val="Normal"/>
              <w:ind w:start="780" w:end="0"/>
              <w:rPr>
                <w:color w:val="000000"/>
                <w:sz w:val="22"/>
              </w:rPr>
            </w:pPr>
            <w:r>
              <w:rPr>
                <w:color w:val="000000"/>
                <w:sz w:val="22"/>
              </w:rPr>
              <w:t>May 15, 2006</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March,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$0.67740</w:t>
            </w:r>
          </w:p>
        </w:tc>
        <w:tc>
          <w:tcPr>
            <w:tcW w:w="2880" w:type="dxa"/>
            <w:gridSpan w:val="2"/>
            <w:tcBorders/>
            <w:tcMar>
              <w:start w:w="30" w:type="dxa"/>
              <w:end w:w="30" w:type="dxa"/>
            </w:tcMar>
          </w:tcPr>
          <w:p>
            <w:pPr>
              <w:pStyle w:val="Normal"/>
              <w:ind w:start="780" w:end="0"/>
              <w:rPr>
                <w:color w:val="000000"/>
                <w:sz w:val="22"/>
              </w:rPr>
            </w:pPr>
            <w:r>
              <w:rPr>
                <w:color w:val="000000"/>
                <w:sz w:val="22"/>
              </w:rPr>
              <w:t>May 15, 2006</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April,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$0.67840</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2006</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May,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$0.67840</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2006</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June,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$0.67840</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2006</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July,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$0.67940</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2006</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August,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$0.67940</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2006</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September,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$0.67940</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2006</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October,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$0.68790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2007</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November,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$0.68790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2007</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December,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$0.68790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2007</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January ,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$0.71190</w:t>
            </w:r>
          </w:p>
        </w:tc>
        <w:tc>
          <w:tcPr>
            <w:tcW w:w="2880" w:type="dxa"/>
            <w:gridSpan w:val="2"/>
            <w:tcBorders/>
            <w:tcMar>
              <w:start w:w="30" w:type="dxa"/>
              <w:end w:w="30" w:type="dxa"/>
            </w:tcMar>
          </w:tcPr>
          <w:p>
            <w:pPr>
              <w:pStyle w:val="Normal"/>
              <w:ind w:start="780" w:end="0"/>
              <w:rPr>
                <w:color w:val="000000"/>
                <w:sz w:val="22"/>
              </w:rPr>
            </w:pPr>
            <w:r>
              <w:rPr>
                <w:color w:val="000000"/>
                <w:sz w:val="22"/>
              </w:rPr>
              <w:t>May 15, 2007</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February,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$0.71190</w:t>
            </w:r>
          </w:p>
        </w:tc>
        <w:tc>
          <w:tcPr>
            <w:tcW w:w="2880" w:type="dxa"/>
            <w:gridSpan w:val="2"/>
            <w:tcBorders/>
            <w:tcMar>
              <w:start w:w="30" w:type="dxa"/>
              <w:end w:w="30" w:type="dxa"/>
            </w:tcMar>
          </w:tcPr>
          <w:p>
            <w:pPr>
              <w:pStyle w:val="Normal"/>
              <w:ind w:start="780" w:end="0"/>
              <w:rPr>
                <w:color w:val="000000"/>
                <w:sz w:val="22"/>
              </w:rPr>
            </w:pPr>
            <w:r>
              <w:rPr>
                <w:color w:val="000000"/>
                <w:sz w:val="22"/>
              </w:rPr>
              <w:t>May 15, 2007</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March,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$0.71190</w:t>
            </w:r>
          </w:p>
        </w:tc>
        <w:tc>
          <w:tcPr>
            <w:tcW w:w="2880" w:type="dxa"/>
            <w:gridSpan w:val="2"/>
            <w:tcBorders/>
            <w:tcMar>
              <w:start w:w="30" w:type="dxa"/>
              <w:end w:w="30" w:type="dxa"/>
            </w:tcMar>
          </w:tcPr>
          <w:p>
            <w:pPr>
              <w:pStyle w:val="Normal"/>
              <w:ind w:start="780" w:end="0"/>
              <w:rPr>
                <w:color w:val="000000"/>
                <w:sz w:val="22"/>
              </w:rPr>
            </w:pPr>
            <w:r>
              <w:rPr>
                <w:color w:val="000000"/>
                <w:sz w:val="22"/>
              </w:rPr>
              <w:t>May 15, 2007</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April,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$0.71290</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2007</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May,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$0.71290</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2007</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June,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$0.71290</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2007</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July,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$0.71400</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2007</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August,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$0.71400</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2007</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September,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$0.71400</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2007</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October,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$0.72290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2008</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November,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$0.72290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2008</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December,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$0.72290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2008</w:t>
            </w:r>
          </w:p>
        </w:tc>
        <w:tc>
          <w:tcPr>
            <w:tcW w:w="90" w:type="dxa"/>
            <w:tcBorders/>
            <w:tcMar>
              <w:start w:w="30" w:type="dxa"/>
              <w:end w:w="30" w:type="dxa"/>
            </w:tcMar>
          </w:tcPr>
          <w:p>
            <w:pPr>
              <w:pStyle w:val="Normal"/>
              <w:snapToGrid w:val="false"/>
              <w:jc w:val="end"/>
              <w:rPr>
                <w:color w:val="000000"/>
                <w:sz w:val="22"/>
              </w:rPr>
            </w:pPr>
            <w:r>
              <w:rPr>
                <w:color w:val="000000"/>
                <w:sz w:val="22"/>
              </w:rPr>
            </w:r>
          </w:p>
        </w:tc>
      </w:tr>
    </w:tbl>
    <w:p>
      <w:pPr>
        <w:pStyle w:val="Normal"/>
        <w:rPr>
          <w:b/>
          <w:sz w:val="22"/>
        </w:rPr>
      </w:pPr>
      <w:r>
        <w:rPr>
          <w:b/>
          <w:sz w:val="22"/>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/mnt/main-storage/datasets/enron-docs/doc/elpasoconfirm2.doc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rPr>
      <w:t>DRAFT</w:t>
      <w:tab/>
    </w:r>
    <w:r>
      <w:rPr>
        <w:sz w:val="20"/>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outlineLvl w:val="3"/>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color w:val="008000"/>
      <w:sz w:val="20"/>
    </w:rPr>
  </w:style>
  <w:style w:type="paragraph" w:styleId="BodyTextIndent">
    <w:name w:val="Body Text Indent"/>
    <w:basedOn w:val="Normal"/>
    <w:pPr>
      <w:tabs>
        <w:tab w:val="clear" w:pos="720"/>
        <w:tab w:val="left" w:pos="5760" w:leader="none"/>
      </w:tabs>
      <w:spacing w:lineRule="auto" w:line="360"/>
      <w:ind w:hanging="720" w:start="5760" w:end="0"/>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2000-12-01T12:09:00Z</dcterms:created>
  <dc:creator>adavis4</dc:creator>
  <dc:description/>
  <dc:language>en-CA</dc:language>
  <cp:lastModifiedBy>adavis4</cp:lastModifiedBy>
  <cp:lastPrinted>2000-11-27T15:09:00Z</cp:lastPrinted>
  <dcterms:modified xsi:type="dcterms:W3CDTF">2000-12-01T20:15:00Z</dcterms:modified>
  <cp:revision>2</cp:revision>
  <dc:subject>Enron Capital &amp; Trade Resources International Corp.</dc:subject>
  <dc:title>N36759.1</dc:title>
</cp:coreProperties>
</file>