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On February 23, 2001 we closed the sale of our interests in East Coast Power, L.L.C. (ECP) to Mesquite Investors, L.L.C. (Mesquite), an affiliate of El Paso Corporation (El Paso).  The primary consideration received in the transaction was two NYMEX commodity swaps with a total fair value of $351.9 mm at 3/30/01.  These swaps are held $193.8mm by JEDI II, original holder of the ECP equity, and $158.1mm by Trutta (Condor), holder of the ECP Subordinated Notes at the time of the sale.  The terms of the swaps have El Paso Merchant Energy, Inc. (EPME), El Paso’s primary trading company, paying Mesquite NYMEX plus approximately $0.32 and Mesquite paying EPME NYMEX flat.  All payments are netted at a notional volume, which over seven years, results in a fixed payment stream with no right of set off against other obligations.  The swaps are fully assignable and were unconditionally and irrevocable guaranteed by El Paso Corporation.  Mesquite assisgned the swaps to JEDI II and Trutta as consideration for its purchase fo the ECP interests.  This structure was used to accommodate El Paso’s requirements for the transaction with the clear understanding that we would monetize these swaps in the market as soon as practical following the close of the sale.</w:t>
      </w:r>
    </w:p>
    <w:p>
      <w:pPr>
        <w:pStyle w:val="Normal"/>
        <w:rPr/>
      </w:pPr>
      <w:r>
        <w:rPr/>
      </w:r>
    </w:p>
    <w:p>
      <w:pPr>
        <w:pStyle w:val="Normal"/>
        <w:rPr/>
      </w:pPr>
      <w:r>
        <w:rPr/>
        <w:t>Two weeks ago Treasury requested that El Paso execute two agreements in connection with a planned marketing of the swaps which was to have taken place last week.  The details of that request were for El Paso to sign:</w:t>
      </w:r>
    </w:p>
    <w:p>
      <w:pPr>
        <w:pStyle w:val="Normal"/>
        <w:rPr/>
      </w:pPr>
      <w:r>
        <w:rPr/>
      </w:r>
    </w:p>
    <w:p>
      <w:pPr>
        <w:pStyle w:val="Normal"/>
        <w:numPr>
          <w:ilvl w:val="0"/>
          <w:numId w:val="1"/>
        </w:numPr>
        <w:rPr/>
      </w:pPr>
      <w:r>
        <w:rPr/>
        <w:t>A Guarantor Acknowledgement, providing for</w:t>
      </w:r>
    </w:p>
    <w:p>
      <w:pPr>
        <w:pStyle w:val="Normal"/>
        <w:ind w:start="360" w:end="0"/>
        <w:rPr/>
      </w:pPr>
      <w:r>
        <w:rPr/>
      </w:r>
    </w:p>
    <w:p>
      <w:pPr>
        <w:pStyle w:val="Normal"/>
        <w:numPr>
          <w:ilvl w:val="1"/>
          <w:numId w:val="1"/>
        </w:numPr>
        <w:rPr/>
      </w:pPr>
      <w:r>
        <w:rPr/>
        <w:t>acknowledgement of the assignment of the swaps by JEDI II and Trutta to a monetization trust vehicle (the “Trust”), which it is expressly required to do under Section 8 of the Guaranty agreement, and</w:t>
      </w:r>
    </w:p>
    <w:p>
      <w:pPr>
        <w:pStyle w:val="Normal"/>
        <w:numPr>
          <w:ilvl w:val="1"/>
          <w:numId w:val="1"/>
        </w:numPr>
        <w:rPr/>
      </w:pPr>
      <w:r>
        <w:rPr/>
        <w:t>clarify that should EPME transfer its obligations under the swaps to any other wholly owned subsidiary of El Paso (as it is permitted to do under Section 7(c) of the Swap Agreements) the guarantee would follow the swap and remain in full force and effect.</w:t>
      </w:r>
    </w:p>
    <w:p>
      <w:pPr>
        <w:pStyle w:val="Normal"/>
        <w:rPr/>
      </w:pPr>
      <w:r>
        <w:rPr/>
      </w:r>
    </w:p>
    <w:p>
      <w:pPr>
        <w:pStyle w:val="Normal"/>
        <w:numPr>
          <w:ilvl w:val="0"/>
          <w:numId w:val="1"/>
        </w:numPr>
        <w:rPr/>
      </w:pPr>
      <w:r>
        <w:rPr/>
        <w:t>An Amendment Agreement, amending the Swap Agreements to</w:t>
      </w:r>
    </w:p>
    <w:p>
      <w:pPr>
        <w:pStyle w:val="Normal"/>
        <w:ind w:start="360" w:end="0"/>
        <w:rPr/>
      </w:pPr>
      <w:r>
        <w:rPr/>
      </w:r>
    </w:p>
    <w:p>
      <w:pPr>
        <w:pStyle w:val="Normal"/>
        <w:numPr>
          <w:ilvl w:val="1"/>
          <w:numId w:val="1"/>
        </w:numPr>
        <w:rPr/>
      </w:pPr>
      <w:r>
        <w:rPr/>
        <w:t>replace the Trust as counterparty on the swaps and some other minor clean ups regarding this subsitution, and</w:t>
      </w:r>
    </w:p>
    <w:p>
      <w:pPr>
        <w:pStyle w:val="Normal"/>
        <w:numPr>
          <w:ilvl w:val="1"/>
          <w:numId w:val="1"/>
        </w:numPr>
        <w:rPr/>
      </w:pPr>
      <w:r>
        <w:rPr/>
        <w:t>delete a confidentiality provision which is in conflict with the assignability provisions.</w:t>
      </w:r>
    </w:p>
    <w:p>
      <w:pPr>
        <w:pStyle w:val="Normal"/>
        <w:rPr/>
      </w:pPr>
      <w:r>
        <w:rPr/>
      </w:r>
    </w:p>
    <w:p>
      <w:pPr>
        <w:pStyle w:val="Normal"/>
        <w:rPr/>
      </w:pPr>
      <w:r>
        <w:rPr/>
        <w:t>Tom Kilgore, head of El Paso’s merchant finance division, has refused our request.  As relayed in a telephone conversation with Joe Deffner, Kilgore’s primary objection to our request was his assertion that El Paso had the unconditional right to transfer EPME’s obligations to another wholly owned subsidiary, as provided for in the Swap Agreements, and that any such transfer would thereby give El Paso the option not to honor the guarantee, since the Guaranty explicitly provided only for El Paso’s guarantee of EPME’s obligations under the swaps.</w:t>
      </w:r>
    </w:p>
    <w:p>
      <w:pPr>
        <w:pStyle w:val="Normal"/>
        <w:rPr/>
      </w:pPr>
      <w:r>
        <w:rPr/>
      </w:r>
    </w:p>
    <w:p>
      <w:pPr>
        <w:pStyle w:val="Normal"/>
        <w:rPr/>
      </w:pPr>
      <w:r>
        <w:rPr/>
        <w:t>The ECP sale transaction was entered into on the basis that the El Paso guarantee was unconditional, irrevocable and transferable in order to facilitate our monetization of the consideration.  As part of the consideration being provided by Enron, we accepted the responsibility for marketing the El Paso swaps and the risks related to El Paso’s credit and the general level of interest rates between the closing of the sale and the subsequent monetization.  Kilgore’s position is in direct conflict with the agreements entered into in connection with the sale and the clear intent of the transaction.  Larry Kellerman, the Senior Managing Director responsible for this transaction at El Paso, has confirmed in conversations with us that he agrees that the El Paso Guaranty was intended to follow any subsequent assignment of the swaps without reservation.</w:t>
      </w:r>
    </w:p>
    <w:p>
      <w:pPr>
        <w:pStyle w:val="Normal"/>
        <w:rPr/>
      </w:pPr>
      <w:r>
        <w:rPr/>
      </w:r>
    </w:p>
    <w:p>
      <w:pPr>
        <w:pStyle w:val="Normal"/>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50"/>
        </w:tabs>
        <w:ind w:start="750" w:hanging="39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2001-04-26T20:03:00Z</dcterms:created>
  <dc:creator>Tammie Schoppe</dc:creator>
  <dc:description/>
  <dc:language>en-CA</dc:language>
  <cp:lastModifiedBy>Tammie Schoppe</cp:lastModifiedBy>
  <cp:lastPrinted>2001-04-26T17:16:00Z</cp:lastPrinted>
  <dcterms:modified xsi:type="dcterms:W3CDTF">2001-04-26T20:03:00Z</dcterms:modified>
  <cp:revision>2</cp:revision>
  <dc:subject/>
  <dc:title>On February 23, 2001 we closed the sale of our interests in East Coast Power, L</dc:title>
</cp:coreProperties>
</file>