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i/>
          <w:i/>
          <w:sz w:val="24"/>
        </w:rPr>
      </w:pPr>
      <w:r>
        <w:rPr>
          <w:i/>
          <w:sz w:val="24"/>
        </w:rPr>
      </w:r>
    </w:p>
    <w:p>
      <w:pPr>
        <w:pStyle w:val="BodyText3"/>
        <w:rPr>
          <w:sz w:val="24"/>
        </w:rPr>
      </w:pPr>
      <w:r>
        <w:rPr>
          <w:i/>
          <w:sz w:val="24"/>
        </w:rPr>
        <w:t>For Immediate Release</w:t>
        <w:tab/>
        <w:tab/>
        <w:tab/>
        <w:tab/>
        <w:tab/>
        <w:tab/>
        <w:tab/>
      </w:r>
    </w:p>
    <w:p>
      <w:pPr>
        <w:pStyle w:val="BodyText3"/>
        <w:jc w:val="center"/>
        <w:rPr>
          <w:b/>
          <w:sz w:val="24"/>
        </w:rPr>
      </w:pPr>
      <w:r>
        <w:rPr>
          <w:b/>
          <w:sz w:val="24"/>
        </w:rPr>
      </w:r>
    </w:p>
    <w:p>
      <w:pPr>
        <w:pStyle w:val="BodyText3"/>
        <w:jc w:val="center"/>
        <w:rPr>
          <w:b/>
          <w:sz w:val="24"/>
        </w:rPr>
      </w:pPr>
      <w:r>
        <w:rPr>
          <w:b/>
          <w:sz w:val="24"/>
        </w:rPr>
      </w:r>
    </w:p>
    <w:p>
      <w:pPr>
        <w:pStyle w:val="BodyText3"/>
        <w:jc w:val="center"/>
        <w:rPr>
          <w:b/>
          <w:sz w:val="36"/>
        </w:rPr>
      </w:pPr>
      <w:r>
        <w:rPr>
          <w:b/>
          <w:sz w:val="36"/>
        </w:rPr>
        <w:t>Firm Electricity Date A Positive Signal</w:t>
      </w:r>
    </w:p>
    <w:p>
      <w:pPr>
        <w:pStyle w:val="BodyText3"/>
        <w:rPr>
          <w:b/>
          <w:sz w:val="24"/>
        </w:rPr>
      </w:pPr>
      <w:r>
        <w:rPr>
          <w:b/>
          <w:sz w:val="24"/>
        </w:rPr>
      </w:r>
    </w:p>
    <w:p>
      <w:pPr>
        <w:pStyle w:val="BodyText3"/>
        <w:rPr>
          <w:sz w:val="24"/>
        </w:rPr>
      </w:pPr>
      <w:r>
        <w:rPr>
          <w:sz w:val="24"/>
        </w:rPr>
      </w:r>
    </w:p>
    <w:p>
      <w:pPr>
        <w:pStyle w:val="BodyText3"/>
        <w:rPr/>
      </w:pPr>
      <w:r>
        <w:rPr>
          <w:b/>
          <w:sz w:val="24"/>
        </w:rPr>
        <w:t>Toronto, April 23, 2001 -</w:t>
      </w:r>
      <w:r>
        <w:rPr>
          <w:sz w:val="24"/>
        </w:rPr>
        <w:t xml:space="preserve"> "The Toronto Board of Trade is pleased the Government of Ontario has set a firm date for opening Ontario's electricity market," says Elyse Allan, President and CEO of The Toronto Board of Trade.  "New generation investment in Ontario will ensure a stable power supply for our province."</w:t>
      </w:r>
    </w:p>
    <w:p>
      <w:pPr>
        <w:pStyle w:val="BodyText3"/>
        <w:rPr>
          <w:sz w:val="24"/>
        </w:rPr>
      </w:pPr>
      <w:r>
        <w:rPr>
          <w:sz w:val="24"/>
        </w:rPr>
      </w:r>
    </w:p>
    <w:p>
      <w:pPr>
        <w:pStyle w:val="BodyText3"/>
        <w:rPr>
          <w:sz w:val="24"/>
        </w:rPr>
      </w:pPr>
      <w:r>
        <w:rPr>
          <w:sz w:val="24"/>
        </w:rPr>
        <w:t>"The Toronto Board of Trade believes Ontario's electricity market can and should be open to competition sooner than May 2002," Allan continued.  "In fact, we believe a November 1, 2001 opening date is still achievable given the government's conditions for market opening.  Ontario competes with jurisdictions worldwide for investments.  The sooner we open our electricity market to competition, the sooner we will benefit from economic activity created.</w:t>
      </w:r>
    </w:p>
    <w:p>
      <w:pPr>
        <w:pStyle w:val="BodyText3"/>
        <w:rPr>
          <w:sz w:val="24"/>
        </w:rPr>
      </w:pPr>
      <w:r>
        <w:rPr>
          <w:sz w:val="24"/>
        </w:rPr>
      </w:r>
    </w:p>
    <w:p>
      <w:pPr>
        <w:pStyle w:val="BodyText3"/>
        <w:rPr>
          <w:sz w:val="24"/>
        </w:rPr>
      </w:pPr>
      <w:r>
        <w:rPr>
          <w:sz w:val="24"/>
        </w:rPr>
        <w:t>"The Toronto Board of Trade is in agreement with the Ontario government's four conditions of electricity market opening," says Allan.  "We believe, as does the government, that competition is the best way to protect consumers; a reliable electricity supply promotes a strong economic climate; the environment must be protected; and, allowing business and consumers to choose their source of electricity promotes alternative, environmentally-desirable sources of power."</w:t>
      </w:r>
    </w:p>
    <w:p>
      <w:pPr>
        <w:pStyle w:val="BodyText3"/>
        <w:rPr>
          <w:sz w:val="24"/>
        </w:rPr>
      </w:pPr>
      <w:r>
        <w:rPr>
          <w:sz w:val="24"/>
        </w:rPr>
      </w:r>
    </w:p>
    <w:p>
      <w:pPr>
        <w:pStyle w:val="BodyText3"/>
        <w:rPr>
          <w:sz w:val="24"/>
        </w:rPr>
      </w:pPr>
      <w:r>
        <w:rPr>
          <w:sz w:val="24"/>
        </w:rPr>
        <w:t>Both the Independent Market Operator (IMO) and the Ontario Energy Board (OEB) have indicated that the market systems will be ready for opening this fall.  Ontario currently has a comfortable 18% generating reserve and a greater power supply flexibility than either Alberta or California.  Ontario has varied sources of electricity generation, including coal, nuclear, hydro, and others.</w:t>
      </w:r>
    </w:p>
    <w:p>
      <w:pPr>
        <w:pStyle w:val="BodyText3"/>
        <w:rPr>
          <w:sz w:val="24"/>
        </w:rPr>
      </w:pPr>
      <w:r>
        <w:rPr>
          <w:sz w:val="24"/>
        </w:rPr>
      </w:r>
    </w:p>
    <w:p>
      <w:pPr>
        <w:pStyle w:val="BodyText3"/>
        <w:rPr>
          <w:sz w:val="24"/>
        </w:rPr>
      </w:pPr>
      <w:r>
        <w:rPr>
          <w:sz w:val="24"/>
        </w:rPr>
        <w:t>"The sooner the market opens, the greater the consumer choice, the sooner environmentally-desirable options will be available, and the more Ontario's economy will continue to grow," says Allan.</w:t>
      </w:r>
    </w:p>
    <w:p>
      <w:pPr>
        <w:pStyle w:val="BodyText3"/>
        <w:rPr>
          <w:sz w:val="24"/>
        </w:rPr>
      </w:pPr>
      <w:r>
        <w:rPr>
          <w:sz w:val="24"/>
        </w:rPr>
      </w:r>
    </w:p>
    <w:p>
      <w:pPr>
        <w:pStyle w:val="BodyText3"/>
        <w:rPr>
          <w:sz w:val="24"/>
        </w:rPr>
      </w:pPr>
      <w:r>
        <w:rPr>
          <w:sz w:val="24"/>
        </w:rPr>
      </w:r>
    </w:p>
    <w:p>
      <w:pPr>
        <w:pStyle w:val="BodyText3"/>
        <w:jc w:val="center"/>
        <w:rPr>
          <w:i/>
          <w:i/>
          <w:sz w:val="24"/>
        </w:rPr>
      </w:pPr>
      <w:r>
        <w:rPr>
          <w:i/>
          <w:sz w:val="24"/>
        </w:rPr>
        <w:t>The Toronto Board of Trade is the voice of business for Toronto.</w:t>
      </w:r>
    </w:p>
    <w:p>
      <w:pPr>
        <w:pStyle w:val="Normal"/>
        <w:jc w:val="center"/>
        <w:rPr>
          <w:rFonts w:ascii="Times New Roman" w:hAnsi="Times New Roman" w:cs="Times New Roman"/>
          <w:i/>
          <w:i/>
          <w:sz w:val="24"/>
        </w:rPr>
      </w:pPr>
      <w:r>
        <w:rPr>
          <w:rFonts w:cs="Times New Roman" w:ascii="Times New Roman" w:hAnsi="Times New Roman"/>
          <w:i/>
          <w:sz w:val="24"/>
        </w:rPr>
      </w:r>
    </w:p>
    <w:p>
      <w:pPr>
        <w:pStyle w:val="Normal"/>
        <w:jc w:val="center"/>
        <w:rPr>
          <w:rFonts w:ascii="Times New Roman" w:hAnsi="Times New Roman" w:cs="Times New Roman"/>
        </w:rPr>
      </w:pPr>
      <w:r>
        <w:rPr>
          <w:rFonts w:cs="Times New Roman" w:ascii="Times New Roman" w:hAnsi="Times New Roman"/>
        </w:rPr>
        <w:t xml:space="preserve">- 30 – </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For information: contact Dan Schultz, Communications &amp; Publicity Specialist at 416-862-4565</w:t>
      </w:r>
    </w:p>
    <w:p>
      <w:pPr>
        <w:pStyle w:val="Normal"/>
        <w:jc w:val="center"/>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15840"/>
      <w:pgMar w:left="1440" w:right="1440" w:gutter="0" w:header="706" w:top="2160" w:footer="216"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MetaPlusNormal-Roman">
    <w:altName w:val="Arial Narrow"/>
    <w:charset w:val="00" w:characterSet="windows-1252"/>
    <w:family w:val="swiss"/>
    <w:pitch w:val="variable"/>
  </w:font>
  <w:font w:name="MetaPlusMedium-Roman">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jc w:val="end"/>
      <w:rPr>
        <w:sz w:val="18"/>
      </w:rPr>
    </w:pPr>
    <w:r>
      <w:rPr>
        <w:sz w:val="18"/>
      </w:rPr>
    </w:r>
  </w:p>
  <w:p>
    <w:pPr>
      <w:pStyle w:val="Footer"/>
      <w:pBdr>
        <w:top w:val="single" w:sz="6" w:space="1" w:color="000000"/>
      </w:pBdr>
      <w:jc w:val="end"/>
      <w:rPr>
        <w:sz w:val="20"/>
      </w:rPr>
    </w:pPr>
    <w:r>
      <w:rPr>
        <w:sz w:val="20"/>
      </w:rPr>
      <w:t>Building a better community through business leadership.</w:t>
    </w:r>
  </w:p>
  <w:p>
    <w:pPr>
      <w:pStyle w:val="Footer"/>
      <w:pBdr>
        <w:top w:val="single" w:sz="6" w:space="1" w:color="000000"/>
      </w:pBdr>
      <w:jc w:val="end"/>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741045</wp:posOffset>
              </wp:positionV>
              <wp:extent cx="5944235" cy="635"/>
              <wp:effectExtent l="635" t="6350" r="635" b="6350"/>
              <wp:wrapNone/>
              <wp:docPr id="1" name=""/>
              <a:graphic xmlns:a="http://schemas.openxmlformats.org/drawingml/2006/main">
                <a:graphicData uri="http://schemas.microsoft.com/office/word/2010/wordprocessingShape">
                  <wps:wsp>
                    <wps:cNvSpPr/>
                    <wps:spPr>
                      <a:xfrm>
                        <a:off x="0" y="0"/>
                        <a:ext cx="59443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58.35pt" to="468pt,58.35pt" stroked="t" o:allowincell="f" style="position:absolute">
              <v:stroke color="black" weight="12600"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8890</wp:posOffset>
              </wp:positionV>
              <wp:extent cx="457835" cy="732155"/>
              <wp:effectExtent l="0" t="0" r="0" b="0"/>
              <wp:wrapNone/>
              <wp:docPr id="2" name="Frame2"/>
              <a:graphic xmlns:a="http://schemas.openxmlformats.org/drawingml/2006/main">
                <a:graphicData uri="http://schemas.microsoft.com/office/word/2010/wordprocessingShape">
                  <wps:wsp>
                    <wps:cNvSpPr txBox="1"/>
                    <wps:spPr>
                      <a:xfrm>
                        <a:off x="0" y="0"/>
                        <a:ext cx="457835" cy="732155"/>
                      </a:xfrm>
                      <a:prstGeom prst="rect"/>
                      <a:solidFill>
                        <a:srgbClr val="FFFFFF">
                          <a:alpha val="0"/>
                        </a:srgbClr>
                      </a:solidFill>
                    </wps:spPr>
                    <wps:txbx>
                      <w:txbxContent>
                        <w:p>
                          <w:pPr>
                            <w:pStyle w:val="Normal"/>
                            <w:rPr/>
                          </w:pPr>
                          <w:r>
                            <w:rPr>
                              <w:sz w:val="20"/>
                            </w:rPr>
                            <w:drawing>
                              <wp:inline distT="0" distB="0" distL="0" distR="0">
                                <wp:extent cx="414655" cy="6946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87" t="-52" r="-87" b="-52"/>
                                        <a:stretch>
                                          <a:fillRect/>
                                        </a:stretch>
                                      </pic:blipFill>
                                      <pic:spPr bwMode="auto">
                                        <a:xfrm>
                                          <a:off x="0" y="0"/>
                                          <a:ext cx="414655" cy="694690"/>
                                        </a:xfrm>
                                        <a:prstGeom prst="rect">
                                          <a:avLst/>
                                        </a:prstGeom>
                                        <a:noFill/>
                                      </pic:spPr>
                                    </pic:pic>
                                  </a:graphicData>
                                </a:graphic>
                              </wp:inline>
                            </w:drawing>
                          </w:r>
                          <w:r>
                            <w:rPr>
                              <w:sz w:val="20"/>
                            </w:rPr>
                            <w:drawing>
                              <wp:inline distT="0" distB="0" distL="0" distR="0">
                                <wp:extent cx="1252220" cy="83185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2"/>
                                        <a:srcRect l="-29" t="-43" r="-29" b="-43"/>
                                        <a:stretch>
                                          <a:fillRect/>
                                        </a:stretch>
                                      </pic:blipFill>
                                      <pic:spPr bwMode="auto">
                                        <a:xfrm>
                                          <a:off x="0" y="0"/>
                                          <a:ext cx="1252220" cy="83185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36.05pt;height:57.65pt;mso-wrap-distance-left:9.05pt;mso-wrap-distance-right:9.05pt;mso-wrap-distance-top:0pt;mso-wrap-distance-bottom:0pt;margin-top:0.7pt;mso-position-vertical-relative:text;margin-left:0pt;mso-position-horizontal-relative:text">
              <v:fill opacity="0f"/>
              <v:textbox inset="0.000694444444444445in,0.000694444444444445in,0.000694444444444445in,0.000694444444444445in">
                <w:txbxContent>
                  <w:p>
                    <w:pPr>
                      <w:pStyle w:val="Normal"/>
                      <w:rPr/>
                    </w:pPr>
                    <w:r>
                      <w:rPr>
                        <w:sz w:val="20"/>
                      </w:rPr>
                      <w:drawing>
                        <wp:inline distT="0" distB="0" distL="0" distR="0">
                          <wp:extent cx="414655" cy="69469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3"/>
                                  <a:srcRect l="-87" t="-52" r="-87" b="-52"/>
                                  <a:stretch>
                                    <a:fillRect/>
                                  </a:stretch>
                                </pic:blipFill>
                                <pic:spPr bwMode="auto">
                                  <a:xfrm>
                                    <a:off x="0" y="0"/>
                                    <a:ext cx="414655" cy="694690"/>
                                  </a:xfrm>
                                  <a:prstGeom prst="rect">
                                    <a:avLst/>
                                  </a:prstGeom>
                                  <a:noFill/>
                                </pic:spPr>
                              </pic:pic>
                            </a:graphicData>
                          </a:graphic>
                        </wp:inline>
                      </w:drawing>
                    </w:r>
                    <w:r>
                      <w:rPr>
                        <w:sz w:val="20"/>
                      </w:rPr>
                      <w:drawing>
                        <wp:inline distT="0" distB="0" distL="0" distR="0">
                          <wp:extent cx="1252220" cy="831850"/>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4"/>
                                  <a:srcRect l="-29" t="-43" r="-29" b="-43"/>
                                  <a:stretch>
                                    <a:fillRect/>
                                  </a:stretch>
                                </pic:blipFill>
                                <pic:spPr bwMode="auto">
                                  <a:xfrm>
                                    <a:off x="0" y="0"/>
                                    <a:ext cx="1252220" cy="831850"/>
                                  </a:xfrm>
                                  <a:prstGeom prst="rect">
                                    <a:avLst/>
                                  </a:prstGeom>
                                  <a:noFill/>
                                </pic:spPr>
                              </pic:pic>
                            </a:graphicData>
                          </a:graphic>
                        </wp:inline>
                      </w:drawing>
                    </w:r>
                  </w:p>
                </w:txbxContent>
              </v:textbox>
              <w10:wrap type="none"/>
            </v:rect>
          </w:pict>
        </mc:Fallback>
      </mc:AlternateContent>
    </w:r>
    <w:r>
      <mc:AlternateContent>
        <mc:Choice Requires="wps">
          <w:drawing>
            <wp:anchor behindDoc="1" distT="0" distB="0" distL="114935" distR="114935" simplePos="0" locked="0" layoutInCell="1" allowOverlap="1" relativeHeight="5">
              <wp:simplePos x="0" y="0"/>
              <wp:positionH relativeFrom="column">
                <wp:posOffset>548640</wp:posOffset>
              </wp:positionH>
              <wp:positionV relativeFrom="paragraph">
                <wp:posOffset>100330</wp:posOffset>
              </wp:positionV>
              <wp:extent cx="5761355" cy="549275"/>
              <wp:effectExtent l="0" t="0" r="0" b="0"/>
              <wp:wrapNone/>
              <wp:docPr id="7" name="Frame1"/>
              <a:graphic xmlns:a="http://schemas.openxmlformats.org/drawingml/2006/main">
                <a:graphicData uri="http://schemas.microsoft.com/office/word/2010/wordprocessingShape">
                  <wps:wsp>
                    <wps:cNvSpPr txBox="1"/>
                    <wps:spPr>
                      <a:xfrm>
                        <a:off x="0" y="0"/>
                        <a:ext cx="5761355" cy="549275"/>
                      </a:xfrm>
                      <a:prstGeom prst="rect"/>
                      <a:solidFill>
                        <a:srgbClr val="FFFFFF">
                          <a:alpha val="0"/>
                        </a:srgbClr>
                      </a:solidFill>
                    </wps:spPr>
                    <wps:txbx>
                      <w:txbxContent>
                        <w:p>
                          <w:pPr>
                            <w:pStyle w:val="Normal"/>
                            <w:rPr>
                              <w:rFonts w:ascii="MetaPlusMedium-Roman;Arial" w:hAnsi="MetaPlusMedium-Roman;Arial" w:cs="MetaPlusMedium-Roman;Arial"/>
                              <w:sz w:val="36"/>
                            </w:rPr>
                          </w:pPr>
                          <w:r>
                            <w:rPr>
                              <w:rFonts w:cs="MetaPlusMedium-Roman;Arial" w:ascii="MetaPlusMedium-Roman;Arial" w:hAnsi="MetaPlusMedium-Roman;Arial"/>
                              <w:sz w:val="36"/>
                            </w:rPr>
                            <w:t>The Toronto Board of Trade</w:t>
                          </w:r>
                        </w:p>
                        <w:p>
                          <w:pPr>
                            <w:pStyle w:val="Normal"/>
                            <w:spacing w:before="120" w:after="0"/>
                            <w:ind w:end="0"/>
                            <w:rPr>
                              <w:color w:val="000000"/>
                              <w:sz w:val="16"/>
                            </w:rPr>
                          </w:pPr>
                          <w:r>
                            <w:rPr>
                              <w:color w:val="000000"/>
                              <w:sz w:val="16"/>
                            </w:rPr>
                            <w:t>1 First Canadian Place, PO Box 60, Toronto, Ontario  M5X 1C1  Telephone:  416-366-6811  Fax: 416-366-5620   www.bot.com</w:t>
                          </w:r>
                        </w:p>
                        <w:p>
                          <w:pPr>
                            <w:pStyle w:val="Normal"/>
                            <w:rPr>
                              <w:color w:val="000000"/>
                              <w:sz w:val="36"/>
                            </w:rPr>
                          </w:pPr>
                          <w:r>
                            <w:rPr>
                              <w:color w:val="000000"/>
                              <w:sz w:val="36"/>
                            </w:rPr>
                          </w:r>
                        </w:p>
                      </w:txbxContent>
                    </wps:txbx>
                    <wps:bodyPr anchor="t" lIns="635" tIns="635" rIns="635" bIns="635">
                      <a:noAutofit/>
                    </wps:bodyPr>
                  </wps:wsp>
                </a:graphicData>
              </a:graphic>
            </wp:anchor>
          </w:drawing>
        </mc:Choice>
        <mc:Fallback>
          <w:pict>
            <v:rect fillcolor="#FFFFFF" style="position:absolute;rotation:-0;width:453.65pt;height:43.25pt;mso-wrap-distance-left:9.05pt;mso-wrap-distance-right:9.05pt;mso-wrap-distance-top:0pt;mso-wrap-distance-bottom:0pt;margin-top:7.9pt;mso-position-vertical-relative:text;margin-left:43.2pt;mso-position-horizontal-relative:text">
              <v:fill opacity="0f"/>
              <v:textbox inset="0.000694444444444445in,0.000694444444444445in,0.000694444444444445in,0.000694444444444445in">
                <w:txbxContent>
                  <w:p>
                    <w:pPr>
                      <w:pStyle w:val="Normal"/>
                      <w:rPr>
                        <w:rFonts w:ascii="MetaPlusMedium-Roman;Arial" w:hAnsi="MetaPlusMedium-Roman;Arial" w:cs="MetaPlusMedium-Roman;Arial"/>
                        <w:sz w:val="36"/>
                      </w:rPr>
                    </w:pPr>
                    <w:r>
                      <w:rPr>
                        <w:rFonts w:cs="MetaPlusMedium-Roman;Arial" w:ascii="MetaPlusMedium-Roman;Arial" w:hAnsi="MetaPlusMedium-Roman;Arial"/>
                        <w:sz w:val="36"/>
                      </w:rPr>
                      <w:t>The Toronto Board of Trade</w:t>
                    </w:r>
                  </w:p>
                  <w:p>
                    <w:pPr>
                      <w:pStyle w:val="Normal"/>
                      <w:spacing w:before="120" w:after="0"/>
                      <w:ind w:end="0"/>
                      <w:rPr>
                        <w:color w:val="000000"/>
                        <w:sz w:val="16"/>
                      </w:rPr>
                    </w:pPr>
                    <w:r>
                      <w:rPr>
                        <w:color w:val="000000"/>
                        <w:sz w:val="16"/>
                      </w:rPr>
                      <w:t>1 First Canadian Place, PO Box 60, Toronto, Ontario  M5X 1C1  Telephone:  416-366-6811  Fax: 416-366-5620   www.bot.com</w:t>
                    </w:r>
                  </w:p>
                  <w:p>
                    <w:pPr>
                      <w:pStyle w:val="Normal"/>
                      <w:rPr>
                        <w:color w:val="000000"/>
                        <w:sz w:val="36"/>
                      </w:rPr>
                    </w:pPr>
                    <w:r>
                      <w:rPr>
                        <w:color w:val="000000"/>
                        <w:sz w:val="36"/>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72"/>
    </w:rPr>
  </w:style>
  <w:style w:type="paragraph" w:styleId="Heading2">
    <w:name w:val="heading 2"/>
    <w:basedOn w:val="Normal"/>
    <w:next w:val="Normal"/>
    <w:qFormat/>
    <w:pPr>
      <w:keepNext w:val="true"/>
      <w:numPr>
        <w:ilvl w:val="1"/>
        <w:numId w:val="1"/>
      </w:numPr>
      <w:spacing w:lineRule="auto" w:line="120"/>
      <w:jc w:val="center"/>
      <w:outlineLvl w:val="1"/>
    </w:pPr>
    <w:rPr>
      <w:rFonts w:ascii="Times New Roman" w:hAnsi="Times New Roman" w:cs="Times New Roman"/>
      <w:i/>
      <w:sz w:val="4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4"/>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MetaPlusNormal-Roman;Arial Narrow" w:hAnsi="MetaPlusNormal-Roman;Arial Narrow" w:cs="MetaPlusNormal-Roman;Arial Narrow"/>
      <w:sz w:val="22"/>
    </w:rPr>
  </w:style>
  <w:style w:type="paragraph" w:styleId="Footer">
    <w:name w:val="footer"/>
    <w:basedOn w:val="Normal"/>
    <w:pPr>
      <w:tabs>
        <w:tab w:val="clear" w:pos="720"/>
        <w:tab w:val="center" w:pos="4320" w:leader="none"/>
        <w:tab w:val="right" w:pos="8640" w:leader="none"/>
      </w:tabs>
    </w:pPr>
    <w:rPr>
      <w:rFonts w:ascii="MetaPlusNormal-Roman;Arial Narrow" w:hAnsi="MetaPlusNormal-Roman;Arial Narrow" w:cs="MetaPlusNormal-Roman;Arial Narrow"/>
      <w:sz w:val="22"/>
    </w:rPr>
  </w:style>
  <w:style w:type="paragraph" w:styleId="BodyText3">
    <w:name w:val="Body Text 3"/>
    <w:basedOn w:val="Normal"/>
    <w:qFormat/>
    <w:pPr>
      <w:tabs>
        <w:tab w:val="clear" w:pos="720"/>
        <w:tab w:val="left" w:pos="360" w:leader="none"/>
      </w:tabs>
    </w:pPr>
    <w:rPr>
      <w:rFonts w:ascii="Times New Roman" w:hAnsi="Times New Roman" w:cs="Times New Roman"/>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Relationship Id="rId3" Type="http://schemas.openxmlformats.org/officeDocument/2006/relationships/image" Target="media/image1.wmf"/><Relationship Id="rId4"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2001-04-23T12:51:00Z</dcterms:created>
  <dc:creator>Board of Trade</dc:creator>
  <dc:description/>
  <dc:language>en-CA</dc:language>
  <cp:lastModifiedBy>Board of Trade</cp:lastModifiedBy>
  <cp:lastPrinted>2001-04-23T17:17:00Z</cp:lastPrinted>
  <dcterms:modified xsi:type="dcterms:W3CDTF">2001-04-23T18:15:00Z</dcterms:modified>
  <cp:revision>16</cp:revision>
  <dc:subject/>
  <dc:title>For Immediate Release</dc:title>
</cp:coreProperties>
</file>