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 94 FERC ¶ 61,311</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Before Commissioners:   Curt Hébert, Jr., Chairman;</w:t>
      </w:r>
    </w:p>
    <w:p>
      <w:pPr>
        <w:pStyle w:val="Normal"/>
        <w:widowControl/>
        <w:ind w:firstLine="2160" w:end="0"/>
        <w:rPr>
          <w:sz w:val="26"/>
        </w:rPr>
      </w:pPr>
      <w:r>
        <w:rPr>
          <w:sz w:val="26"/>
        </w:rPr>
        <w:t xml:space="preserve">       </w:t>
      </w:r>
      <w:r>
        <w:rPr>
          <w:sz w:val="26"/>
        </w:rPr>
        <w:t xml:space="preserve">William L. Massey, and Linda Breathitt.  </w:t>
      </w:r>
    </w:p>
    <w:p>
      <w:pPr>
        <w:pStyle w:val="Normal"/>
        <w:widowControl/>
        <w:ind w:firstLine="2160" w:end="0"/>
        <w:rPr>
          <w:sz w:val="26"/>
        </w:rPr>
      </w:pPr>
      <w:r>
        <w:rPr>
          <w:sz w:val="26"/>
        </w:rPr>
      </w:r>
    </w:p>
    <w:p>
      <w:pPr>
        <w:pStyle w:val="Normal"/>
        <w:widowControl/>
        <w:rPr>
          <w:sz w:val="26"/>
        </w:rPr>
      </w:pPr>
      <w:r>
        <w:rPr>
          <w:sz w:val="26"/>
        </w:rPr>
      </w:r>
    </w:p>
    <w:p>
      <w:pPr>
        <w:pStyle w:val="Normal"/>
        <w:widowControl/>
        <w:tabs>
          <w:tab w:val="clear" w:pos="720"/>
          <w:tab w:val="right" w:pos="9360" w:leader="none"/>
        </w:tabs>
        <w:rPr>
          <w:sz w:val="26"/>
        </w:rPr>
      </w:pPr>
      <w:r>
        <w:rPr>
          <w:sz w:val="26"/>
        </w:rPr>
        <w:t>Idaho Power Company</w:t>
        <w:tab/>
        <w:t>Docket No. EL01-22-000</w:t>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ORDER DENYING PETITION FOR DECLARATORY ORDER</w:t>
      </w:r>
    </w:p>
    <w:p>
      <w:pPr>
        <w:pStyle w:val="Normal"/>
        <w:widowControl/>
        <w:jc w:val="center"/>
        <w:rPr>
          <w:sz w:val="26"/>
        </w:rPr>
      </w:pPr>
      <w:r>
        <w:rPr>
          <w:sz w:val="26"/>
        </w:rPr>
      </w:r>
    </w:p>
    <w:p>
      <w:pPr>
        <w:pStyle w:val="Normal"/>
        <w:widowControl/>
        <w:jc w:val="center"/>
        <w:rPr>
          <w:sz w:val="26"/>
        </w:rPr>
      </w:pPr>
      <w:r>
        <w:rPr>
          <w:sz w:val="26"/>
        </w:rPr>
        <w:t>(Issued March 16, 2001)</w:t>
      </w:r>
    </w:p>
    <w:p>
      <w:pPr>
        <w:pStyle w:val="Normal"/>
        <w:widowControl/>
        <w:jc w:val="center"/>
        <w:rPr>
          <w:sz w:val="26"/>
        </w:rPr>
      </w:pPr>
      <w:r>
        <w:rPr>
          <w:sz w:val="26"/>
        </w:rPr>
      </w:r>
    </w:p>
    <w:p>
      <w:pPr>
        <w:pStyle w:val="Normal"/>
        <w:widowControl/>
        <w:ind w:firstLine="720" w:end="0"/>
        <w:rPr>
          <w:sz w:val="26"/>
        </w:rPr>
      </w:pPr>
      <w:r>
        <w:rPr>
          <w:sz w:val="26"/>
        </w:rPr>
        <w:t>In this order we will deny Idaho Power Company's (Idaho Power) Petition for  Declaratory Order.  We conclude that the requests for firm transmission service made by Arizona Public Service Company (Arizona Public Service) and Idaho Power's Merchant Group (IP Merchant Group) are not competing requests under Section 2.2 of Idaho Power's Open Access Transmission Tariff (OATT), as discussed below, and that Arizona Public Service is entitled to extend its transmission service pursuant to its rollover rights.</w:t>
      </w:r>
    </w:p>
    <w:p>
      <w:pPr>
        <w:pStyle w:val="Normal"/>
        <w:widowControl/>
        <w:rPr>
          <w:sz w:val="26"/>
        </w:rPr>
      </w:pPr>
      <w:r>
        <w:rPr>
          <w:sz w:val="26"/>
        </w:rPr>
      </w:r>
    </w:p>
    <w:p>
      <w:pPr>
        <w:pStyle w:val="Normal"/>
        <w:widowControl/>
        <w:rPr>
          <w:sz w:val="26"/>
        </w:rPr>
      </w:pPr>
      <w:r>
        <w:rPr>
          <w:sz w:val="26"/>
          <w:u w:val="single"/>
        </w:rPr>
        <w:t>Background</w:t>
      </w:r>
    </w:p>
    <w:p>
      <w:pPr>
        <w:pStyle w:val="Normal"/>
        <w:widowControl/>
        <w:ind w:firstLine="720" w:end="0"/>
        <w:rPr>
          <w:sz w:val="26"/>
        </w:rPr>
      </w:pPr>
      <w:r>
        <w:rPr>
          <w:sz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ind w:firstLine="720" w:end="0"/>
        <w:rPr/>
      </w:pPr>
      <w:r>
        <w:rPr>
          <w:sz w:val="26"/>
        </w:rPr>
        <w:t xml:space="preserve">Idaho Power currently provides 75 MW of firm point-to-point transmission service to Arizona Public Service, from the Borah/Brady Substations (Borah/Brady) (located in southeastern Idaho) to the LaGrande Substation (LaGrande) (located in eastern Oregon where Idaho Power's transmission system interconnects with Bonneville Power Administration), for the period from October 1, 1999 through March 31, 2001. </w:t>
      </w:r>
      <w:r>
        <w:rPr>
          <w:rStyle w:val="FootnoteCharacters"/>
          <w:rStyle w:val="FootnoteReference"/>
          <w:b/>
          <w:sz w:val="31"/>
          <w:vertAlign w:val="superscript"/>
        </w:rPr>
        <w:footnoteReference w:id="2"/>
      </w:r>
      <w:r>
        <w:rPr>
          <w:sz w:val="26"/>
        </w:rPr>
        <w:t xml:space="preserve">  In July, 1998, Arizona Public Service requested firm transmission service, across Idaho Power's Borah West path, for an eight-year period. The Commission determined that although Idaho Power could not provide firm point-to-point transmission service to Arizona Public Service for eight years, Idaho Power could provide firm point-to-point transmission service to Arizona Public Service for eighteen months. </w:t>
      </w:r>
      <w:r>
        <w:rPr>
          <w:rStyle w:val="FootnoteCharacters"/>
          <w:rStyle w:val="FootnoteReference"/>
          <w:b/>
          <w:sz w:val="31"/>
          <w:vertAlign w:val="superscript"/>
        </w:rPr>
        <w:footnoteReference w:id="3"/>
      </w:r>
      <w:r>
        <w:rPr>
          <w:sz w:val="26"/>
        </w:rPr>
        <w:t xml:space="preserve">  In addition, the Commission clarified, pursuant to OATT Section 2.2, that Arizona Public Service had the right of first refusal to continue its transmission service from Idaho Power at the end of the eighteen-month term of service. </w:t>
      </w:r>
      <w:r>
        <w:rPr>
          <w:rStyle w:val="FootnoteCharacters"/>
          <w:rStyle w:val="FootnoteReference"/>
          <w:b/>
          <w:sz w:val="31"/>
          <w:vertAlign w:val="superscript"/>
        </w:rPr>
        <w:footnoteReference w:id="4"/>
      </w:r>
      <w:r>
        <w:rPr>
          <w:sz w:val="26"/>
        </w:rPr>
        <w:t xml:space="preserve">  By letter dated November 9, 2000, Arizona Public Service notified Idaho Power that it was exercising its rollover rights for an additional eighteen-month period from April 1, 2001 through September 30, 2002.</w:t>
      </w:r>
    </w:p>
    <w:p>
      <w:pPr>
        <w:pStyle w:val="Normal"/>
        <w:widowControl/>
        <w:ind w:firstLine="2160" w:end="0"/>
        <w:rPr>
          <w:sz w:val="26"/>
        </w:rPr>
      </w:pPr>
      <w:r>
        <w:rPr>
          <w:sz w:val="26"/>
        </w:rPr>
      </w:r>
    </w:p>
    <w:p>
      <w:pPr>
        <w:pStyle w:val="Normal"/>
        <w:widowControl/>
        <w:ind w:firstLine="720" w:end="0"/>
        <w:rPr>
          <w:sz w:val="26"/>
        </w:rPr>
      </w:pPr>
      <w:r>
        <w:rPr>
          <w:sz w:val="26"/>
        </w:rPr>
        <w:t>On November 8, 2000, the IP Merchant Group submitted a request for 200 MW of firm point-to-point transmission service from ten receipt points on the Idaho Power system to the LaGrande delivery point, for the ten-year period commencing December 1, 2000.  On November 15, 2000, the IP Merchant Group submitted a second request for 200 MW of firm point-to-point transmission service from three different receipt points on the Idaho Power system to LaGrande, for the ten-year period commencing January 1, 2001.</w:t>
      </w:r>
    </w:p>
    <w:p>
      <w:pPr>
        <w:pStyle w:val="Normal"/>
        <w:widowControl/>
        <w:rPr>
          <w:sz w:val="26"/>
        </w:rPr>
      </w:pPr>
      <w:r>
        <w:rPr>
          <w:sz w:val="26"/>
        </w:rPr>
      </w:r>
    </w:p>
    <w:p>
      <w:pPr>
        <w:pStyle w:val="Normal"/>
        <w:widowControl/>
        <w:ind w:firstLine="720" w:end="0"/>
        <w:rPr>
          <w:sz w:val="26"/>
        </w:rPr>
      </w:pPr>
      <w:r>
        <w:rPr>
          <w:sz w:val="26"/>
        </w:rPr>
        <w:t xml:space="preserve">Idaho Power asserts that its Available Transmission Capacity (ATC) at LaGrande is insufficient to provide service to both parties without additional construction at LaGrande.  On December 20, 2000, Idaho Power filed a Petition for Declaratory Order seeking the Commission's interpretation on the application of the "right of first refusal" provisions of OATT Section 2.2.  </w:t>
      </w:r>
    </w:p>
    <w:p>
      <w:pPr>
        <w:pStyle w:val="Normal"/>
        <w:widowControl/>
        <w:rPr>
          <w:sz w:val="26"/>
        </w:rPr>
      </w:pPr>
      <w:r>
        <w:rPr>
          <w:sz w:val="26"/>
        </w:rPr>
      </w:r>
    </w:p>
    <w:p>
      <w:pPr>
        <w:pStyle w:val="Normal"/>
        <w:widowControl/>
        <w:rPr>
          <w:sz w:val="26"/>
        </w:rPr>
      </w:pPr>
      <w:r>
        <w:rPr>
          <w:sz w:val="26"/>
          <w:u w:val="single"/>
        </w:rPr>
        <w:t>Notice, Interventions and Responses</w:t>
      </w:r>
    </w:p>
    <w:p>
      <w:pPr>
        <w:pStyle w:val="Normal"/>
        <w:widowControl/>
        <w:rPr>
          <w:sz w:val="26"/>
        </w:rPr>
      </w:pPr>
      <w:r>
        <w:rPr>
          <w:sz w:val="26"/>
        </w:rPr>
      </w:r>
    </w:p>
    <w:p>
      <w:pPr>
        <w:pStyle w:val="Normal"/>
        <w:widowControl/>
        <w:ind w:firstLine="720" w:end="0"/>
        <w:rPr/>
      </w:pPr>
      <w:r>
        <w:rPr>
          <w:sz w:val="26"/>
        </w:rPr>
        <w:t xml:space="preserve">Notice of Idaho Power's filing was published in the Federal Register with comments, protests, or motions to intervene due on or before January 22, 2001. </w:t>
      </w:r>
      <w:r>
        <w:rPr>
          <w:rStyle w:val="FootnoteCharacters"/>
          <w:rStyle w:val="FootnoteReference"/>
          <w:b/>
          <w:sz w:val="31"/>
          <w:vertAlign w:val="superscript"/>
        </w:rPr>
        <w:footnoteReference w:id="5"/>
      </w:r>
      <w:r>
        <w:rPr>
          <w:sz w:val="26"/>
        </w:rPr>
        <w:t xml:space="preserve">  On January 22, 2001 Dynegy Power Marketing, Inc. filed a Motion to Intervene with no comments.  Also on January 22, 2001, Arizona Public Service filed a Motion to Intervene, Protest, and Request for Expedited Consideration.  In response, Idaho Power, on February 6, 2001, filed an Answer to Arizona Public Service Motion to Intervene, Protest, and Motion for Expedited Consideration.  On February 7, 2001, Idaho Power also filed a letter submitting a corrected copy of Answer of Idaho Power Company to Arizona Service Company's Motion to Intervene, Protest, and Motion for Expedited Consideration.  On February 20, Arizona Public Service subsequently filed an Answer to </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rPr>
        <w:t>Idaho Power's Answer and</w:t>
        <w:tab/>
        <w:t>Renewed Request for Expedition and for Interim Order.  On</w:t>
      </w:r>
    </w:p>
    <w:p>
      <w:pPr>
        <w:pStyle w:val="Normal"/>
        <w:widowControl/>
        <w:rPr>
          <w:sz w:val="26"/>
          <w:u w:val="single"/>
        </w:rPr>
      </w:pPr>
      <w:r>
        <w:rPr>
          <w:sz w:val="26"/>
        </w:rPr>
        <w:t>March 7, 2001, Idaho Power an Answer to Arizona Public Service 's Answer.</w:t>
      </w:r>
    </w:p>
    <w:p>
      <w:pPr>
        <w:pStyle w:val="Normal"/>
        <w:widowControl/>
        <w:rPr>
          <w:sz w:val="26"/>
          <w:u w:val="single"/>
        </w:rPr>
      </w:pPr>
      <w:r>
        <w:rPr>
          <w:sz w:val="26"/>
          <w:u w:val="single"/>
        </w:rPr>
      </w:r>
    </w:p>
    <w:p>
      <w:pPr>
        <w:pStyle w:val="Normal"/>
        <w:widowControl/>
        <w:rPr>
          <w:sz w:val="26"/>
        </w:rPr>
      </w:pPr>
      <w:r>
        <w:rPr>
          <w:sz w:val="26"/>
          <w:u w:val="single"/>
        </w:rPr>
        <w:t>Discussion</w:t>
      </w:r>
    </w:p>
    <w:p>
      <w:pPr>
        <w:pStyle w:val="Normal"/>
        <w:widowControl/>
        <w:ind w:firstLine="1440" w:end="0"/>
        <w:rPr>
          <w:sz w:val="26"/>
        </w:rPr>
      </w:pPr>
      <w:r>
        <w:rPr>
          <w:sz w:val="26"/>
        </w:rPr>
      </w:r>
    </w:p>
    <w:p>
      <w:pPr>
        <w:pStyle w:val="Normal"/>
        <w:widowControl/>
        <w:ind w:firstLine="720" w:end="0"/>
        <w:rPr>
          <w:sz w:val="26"/>
        </w:rPr>
      </w:pPr>
      <w:r>
        <w:rPr>
          <w:sz w:val="26"/>
          <w:u w:val="single"/>
        </w:rPr>
        <w:t>Procedural Matters</w:t>
      </w:r>
    </w:p>
    <w:p>
      <w:pPr>
        <w:pStyle w:val="Normal"/>
        <w:widowControl/>
        <w:rPr>
          <w:sz w:val="26"/>
        </w:rPr>
      </w:pPr>
      <w:r>
        <w:rPr>
          <w:sz w:val="26"/>
        </w:rPr>
      </w:r>
    </w:p>
    <w:p>
      <w:pPr>
        <w:pStyle w:val="Normal"/>
        <w:widowControl/>
        <w:ind w:firstLine="720" w:end="0"/>
        <w:rPr>
          <w:sz w:val="26"/>
        </w:rPr>
      </w:pPr>
      <w:r>
        <w:rPr>
          <w:sz w:val="26"/>
        </w:rPr>
        <w:t>Under Rule 214 of the Commission's Rules of Practice and Procedure, 18 C.F.R.  § 385.214 (2000), the timely, unopposed motions to intervene serve to make the entities that filed them parties to this proceeding.  Rule 213(a)(2) of the Commission's Rules of Practice and Procedure, 18 C.F.R. § 385.213(a)(2) (2000), generally prohibits an answer to a protest.  We are not persuaded to allow the proposed answers, and accordingly will reject both the Idaho Power and Arizona Public Service answers.</w:t>
      </w:r>
    </w:p>
    <w:p>
      <w:pPr>
        <w:pStyle w:val="Normal"/>
        <w:widowControl/>
        <w:rPr>
          <w:sz w:val="26"/>
        </w:rPr>
      </w:pPr>
      <w:r>
        <w:rPr>
          <w:sz w:val="26"/>
        </w:rPr>
      </w:r>
    </w:p>
    <w:p>
      <w:pPr>
        <w:pStyle w:val="Normal"/>
        <w:widowControl/>
        <w:ind w:firstLine="720" w:end="0"/>
        <w:rPr>
          <w:sz w:val="26"/>
        </w:rPr>
      </w:pPr>
      <w:r>
        <w:rPr>
          <w:sz w:val="26"/>
          <w:u w:val="single"/>
        </w:rPr>
        <w:t>Idaho Power's Petition/Interpretation</w:t>
      </w:r>
    </w:p>
    <w:p>
      <w:pPr>
        <w:pStyle w:val="Normal"/>
        <w:widowControl/>
        <w:rPr>
          <w:sz w:val="26"/>
        </w:rPr>
      </w:pPr>
      <w:r>
        <w:rPr>
          <w:sz w:val="26"/>
        </w:rPr>
      </w:r>
    </w:p>
    <w:p>
      <w:pPr>
        <w:pStyle w:val="Normal"/>
        <w:widowControl/>
        <w:ind w:firstLine="720" w:end="0"/>
        <w:rPr>
          <w:sz w:val="26"/>
        </w:rPr>
      </w:pPr>
      <w:r>
        <w:rPr>
          <w:sz w:val="26"/>
        </w:rPr>
        <w:t>Idaho Power submits that because it has received competing requests for long-term firm point-to-point transmission service from Arizona Public Service (rollover rights) and the IP Merchant Group, that exceed the available ATC, the next step, pursuant to OATT Section 2.2 procedures, is to invoke the tie-breaker process and give Arizona Public Service the opportunity to extend its eighteen-month service term in order to match the ten-year contract term requested by the IP Merchant Group.  However, Idaho Power explains that Arizona Public Service cannot extend its request beyond eighteen months, and thus cannot match the IP Merchant Group's request, due to system constraints.</w:t>
      </w:r>
    </w:p>
    <w:p>
      <w:pPr>
        <w:pStyle w:val="Normal"/>
        <w:widowControl/>
        <w:rPr>
          <w:sz w:val="26"/>
        </w:rPr>
      </w:pPr>
      <w:r>
        <w:rPr>
          <w:sz w:val="26"/>
        </w:rPr>
      </w:r>
    </w:p>
    <w:p>
      <w:pPr>
        <w:pStyle w:val="Normal"/>
        <w:widowControl/>
        <w:ind w:firstLine="720" w:end="0"/>
        <w:rPr>
          <w:sz w:val="26"/>
        </w:rPr>
      </w:pPr>
      <w:r>
        <w:rPr>
          <w:sz w:val="26"/>
        </w:rPr>
        <w:t>According to Idaho Power, the exercise of rollover rights by Arizona Public Service's implicates OATT Section 2.2, which states in relevant part:</w:t>
      </w:r>
    </w:p>
    <w:p>
      <w:pPr>
        <w:pStyle w:val="Normal"/>
        <w:widowControl/>
        <w:rPr>
          <w:sz w:val="26"/>
        </w:rPr>
      </w:pPr>
      <w:r>
        <w:rPr>
          <w:sz w:val="26"/>
        </w:rPr>
      </w:r>
    </w:p>
    <w:p>
      <w:pPr>
        <w:pStyle w:val="Normal"/>
        <w:widowControl/>
        <w:ind w:start="720" w:end="0"/>
        <w:rPr>
          <w:sz w:val="26"/>
        </w:rPr>
      </w:pPr>
      <w:r>
        <w:rPr>
          <w:sz w:val="26"/>
        </w:rPr>
        <w:t>Existing firm service customers have the right to continue to take service from the Transmission Provider when the contract expires, rolls over, or is renewed.  If at the end of the contract term, the Transmission Provider's Transmission System cannot accommodate all of the requests for transmission service the existing firm service customer must agree to accept a contract term at least equal to a competing request by any new Eligible Customer and to pay the current just and reasonable rate, as approved by the Commission, for such service.</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Idaho Power contends that the existing customer's right of first refusal in OATT Section 2.2 is subject to the transmission provider's ability and responsibility to obtain more transmission revenue by granting a longer-term transmission service to a new customer, or by allowing the existing customer to keep service under conditions which enable the Transmission Provider to maximize its revenues for the benefit of its wholesale and retail native load customers.  Idaho Power argues that absent facility upgrades, Arizona Public Service can only match the IP Merchant Group's requests on a contingency basis, </w:t>
      </w:r>
      <w:r>
        <w:rPr>
          <w:sz w:val="26"/>
          <w:u w:val="single"/>
        </w:rPr>
        <w:t>i.e.</w:t>
      </w:r>
      <w:r>
        <w:rPr>
          <w:sz w:val="26"/>
        </w:rPr>
        <w:t>, by exercising rollover rights for an eighteen-month period, and as a result cannot match the firm ten-year term requested by the IP Merchant Group.  Therefore, Idaho Power asserts that the IP Merchant Group has priority to the existing capacity at LaGrande.</w:t>
      </w:r>
    </w:p>
    <w:p>
      <w:pPr>
        <w:pStyle w:val="Normal"/>
        <w:widowControl/>
        <w:rPr>
          <w:sz w:val="26"/>
        </w:rPr>
      </w:pPr>
      <w:r>
        <w:rPr>
          <w:sz w:val="26"/>
        </w:rPr>
      </w:r>
    </w:p>
    <w:p>
      <w:pPr>
        <w:pStyle w:val="Normal"/>
        <w:widowControl/>
        <w:ind w:firstLine="720" w:end="0"/>
        <w:rPr>
          <w:sz w:val="26"/>
        </w:rPr>
      </w:pPr>
      <w:r>
        <w:rPr>
          <w:sz w:val="26"/>
          <w:u w:val="single"/>
        </w:rPr>
        <w:t>Arizona Public Service Response</w:t>
      </w:r>
    </w:p>
    <w:p>
      <w:pPr>
        <w:pStyle w:val="Normal"/>
        <w:widowControl/>
        <w:rPr>
          <w:sz w:val="26"/>
        </w:rPr>
      </w:pPr>
      <w:r>
        <w:rPr>
          <w:sz w:val="26"/>
        </w:rPr>
      </w:r>
    </w:p>
    <w:p>
      <w:pPr>
        <w:pStyle w:val="Normal"/>
        <w:widowControl/>
        <w:ind w:firstLine="720" w:end="0"/>
        <w:rPr/>
      </w:pPr>
      <w:r>
        <w:rPr>
          <w:sz w:val="26"/>
        </w:rPr>
        <w:t xml:space="preserve">Arizona Public Service questions whether the requests submitted by the IP Merchant Group really compete with its rollover request since neither of the IP Merchant Group requests were submitted as preconfirmed requests and, to date, there is no firm commitment to take and pay for the transmission service.  Arizona Public Service argues that it has rollover rights for the service requested and that it complied with the Commission requirement to make an application for its new service term no later than 60 days prior to the date the existing contract ends. </w:t>
      </w:r>
      <w:r>
        <w:rPr>
          <w:rStyle w:val="FootnoteCharacters"/>
          <w:rStyle w:val="FootnoteReference"/>
          <w:b/>
          <w:sz w:val="31"/>
          <w:vertAlign w:val="superscript"/>
        </w:rPr>
        <w:footnoteReference w:id="6"/>
      </w:r>
      <w:r>
        <w:rPr>
          <w:sz w:val="26"/>
        </w:rPr>
        <w:t xml:space="preserve">  Arizona Public Service notes that it specifically notified Idaho Power in November that it was exercising its rollover rights. Arizona Public Service contends that its firm transmission rights are not contingent upon PacifiCorp's pre-existing rights to the capacity.  Arizona Public Service further states that because it is willing to match a ten-year contract term equal to the IP Merchant Group's requests, it "wins" under the tie-breaking mechanism under OATT Section 2.2.</w:t>
      </w:r>
    </w:p>
    <w:p>
      <w:pPr>
        <w:pStyle w:val="Normal"/>
        <w:widowControl/>
        <w:rPr>
          <w:sz w:val="26"/>
        </w:rPr>
      </w:pPr>
      <w:r>
        <w:rPr>
          <w:sz w:val="26"/>
        </w:rPr>
      </w:r>
    </w:p>
    <w:p>
      <w:pPr>
        <w:pStyle w:val="Normal"/>
        <w:widowControl/>
        <w:ind w:firstLine="720" w:end="0"/>
        <w:rPr>
          <w:sz w:val="26"/>
        </w:rPr>
      </w:pPr>
      <w:r>
        <w:rPr>
          <w:sz w:val="26"/>
          <w:u w:val="single"/>
        </w:rPr>
        <w:t>Commission Conclusion</w:t>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rPr>
        <w:t xml:space="preserve">In Order No. 888-A, the Commission stated that the rationale for giving an existing firm transmission customer a reservation priority (right of first refusal) when its contract expires is that it provides a mechanism for allocating transmission capacity when there is insufficient capacity to accommodate all requesters. </w:t>
      </w:r>
      <w:r>
        <w:rPr>
          <w:rStyle w:val="FootnoteCharacters"/>
          <w:rStyle w:val="FootnoteReference"/>
          <w:b/>
          <w:sz w:val="31"/>
          <w:vertAlign w:val="superscript"/>
        </w:rPr>
        <w:footnoteReference w:id="7"/>
      </w:r>
      <w:r>
        <w:rPr>
          <w:sz w:val="26"/>
        </w:rPr>
        <w:t xml:space="preserve">  If there are capacity limitations and both customers (existing and potential) are willing to pay for firm transmission service of the same duration, the right of first refusal provides a tie-breaking mechanism that gives priority to existing customers so that they may continue to receive transmission service.  The Commission also concluded that "[b]ecause the purpose of the provision is to be a tie-breaker, the competing requests should be </w:t>
      </w:r>
      <w:r>
        <w:rPr>
          <w:sz w:val="26"/>
          <w:u w:val="single"/>
        </w:rPr>
        <w:t>substantially the same in all respects</w:t>
      </w:r>
      <w:r>
        <w:rPr>
          <w:sz w:val="26"/>
        </w:rPr>
        <w:t xml:space="preserve">. </w:t>
      </w:r>
      <w:r>
        <w:rPr>
          <w:rStyle w:val="FootnoteCharacters"/>
          <w:rStyle w:val="FootnoteReference"/>
          <w:b/>
          <w:sz w:val="31"/>
          <w:vertAlign w:val="superscript"/>
        </w:rPr>
        <w:footnoteReference w:id="8"/>
      </w:r>
      <w:r>
        <w:rPr>
          <w:sz w:val="26"/>
        </w:rPr>
        <w:t xml:space="preserve">   As discussed below, the transmission service requests are not substantially similar, in all respects, and thus OATT section 2.2 is inapplicable.</w:t>
      </w:r>
    </w:p>
    <w:p>
      <w:pPr>
        <w:pStyle w:val="Normal"/>
        <w:widowControl/>
        <w:rPr>
          <w:sz w:val="26"/>
        </w:rPr>
      </w:pPr>
      <w:r>
        <w:rPr>
          <w:sz w:val="26"/>
        </w:rPr>
      </w:r>
    </w:p>
    <w:p>
      <w:pPr>
        <w:pStyle w:val="Normal"/>
        <w:widowControl/>
        <w:ind w:firstLine="720" w:end="0"/>
        <w:rPr>
          <w:sz w:val="26"/>
        </w:rPr>
      </w:pPr>
      <w:r>
        <w:rPr>
          <w:sz w:val="26"/>
        </w:rPr>
        <w:t>Arizona Public Service's firm point-to-point transmission service wheels power across the Idaho system.  The service originates in southeastern Idaho at Borah/Brady, and traverses north toward the LaGrande delivery point in southeastern Oregon.  By contrast, the IP Merchant Group requests for firm point-to-point transmission service includes various points of receipt at Idaho Power generation resources located in the northwestern quadrant of the Idaho Power transmission system generally having different southwest paths to the delivery point at LaGrande.  The transmission service requests flow in different directions and use different portions of the Idaho Power transmission system.  The requests are vastly different, except for the fact that they share a common point of delivery at LaGrande.</w:t>
      </w:r>
    </w:p>
    <w:p>
      <w:pPr>
        <w:pStyle w:val="Normal"/>
        <w:widowControl/>
        <w:rPr>
          <w:sz w:val="26"/>
        </w:rPr>
      </w:pPr>
      <w:r>
        <w:rPr>
          <w:sz w:val="26"/>
        </w:rPr>
      </w:r>
    </w:p>
    <w:p>
      <w:pPr>
        <w:pStyle w:val="Normal"/>
        <w:widowControl/>
        <w:ind w:firstLine="720" w:end="0"/>
        <w:rPr/>
      </w:pPr>
      <w:r>
        <w:rPr>
          <w:sz w:val="26"/>
        </w:rPr>
        <w:t xml:space="preserve">Service to Arizona Public Service is limited to eighteen-month increments, pursuant to </w:t>
      </w:r>
      <w:r>
        <w:rPr>
          <w:sz w:val="26"/>
          <w:u w:val="single"/>
        </w:rPr>
        <w:t>Idaho Power</w:t>
      </w:r>
      <w:r>
        <w:rPr>
          <w:sz w:val="26"/>
        </w:rPr>
        <w:t xml:space="preserve">, </w:t>
      </w:r>
      <w:r>
        <w:rPr>
          <w:rStyle w:val="FootnoteCharacters"/>
          <w:rStyle w:val="FootnoteReference"/>
          <w:b/>
          <w:sz w:val="31"/>
          <w:vertAlign w:val="superscript"/>
        </w:rPr>
        <w:footnoteReference w:id="9"/>
      </w:r>
      <w:r>
        <w:rPr>
          <w:sz w:val="26"/>
        </w:rPr>
        <w:t xml:space="preserve"> while the service offered to the IP Merchant Group is available for ten years. We note that the dissimilarity in available terms of service also supports the variant nature of the two customers' transmission service requests.  We further note that Arizona Public Service agreed to match the ten years of service, but is restricted from doing so.  Therefore, the transmission service requests are not comparable.  To say that OATT Section 2.2 controls would create a situation where an offer to match a longer service term is unattainable.</w:t>
      </w:r>
    </w:p>
    <w:p>
      <w:pPr>
        <w:pStyle w:val="Normal"/>
        <w:widowControl/>
        <w:rPr>
          <w:sz w:val="26"/>
        </w:rPr>
      </w:pPr>
      <w:r>
        <w:rPr>
          <w:sz w:val="26"/>
        </w:rPr>
      </w:r>
    </w:p>
    <w:p>
      <w:pPr>
        <w:pStyle w:val="Normal"/>
        <w:widowControl/>
        <w:ind w:firstLine="720" w:end="0"/>
        <w:rPr>
          <w:sz w:val="26"/>
        </w:rPr>
      </w:pPr>
      <w:r>
        <w:rPr>
          <w:sz w:val="26"/>
        </w:rPr>
        <w:t>We, therefore, conclude that the two customers do not have competing requests because they are not "substantially the same in all respects," as required by OATT Section 2.2.  As a result, the customers' transmission requests are not subject to the tie-breaking mechanism under OATT Section 2.2.  Accordingly, we direct Idaho Power to extend the existing transmission service to Arizona Public Service by honoring the exercise of its rollover rights for the eighteen-month period from April 1, 2001, through September 30, 2002, as requested.</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u w:val="single"/>
        </w:rPr>
        <w:t>The Commission Orders</w:t>
      </w:r>
    </w:p>
    <w:p>
      <w:pPr>
        <w:pStyle w:val="Normal"/>
        <w:widowControl/>
        <w:rPr>
          <w:sz w:val="26"/>
        </w:rPr>
      </w:pPr>
      <w:r>
        <w:rPr>
          <w:sz w:val="26"/>
        </w:rPr>
      </w:r>
    </w:p>
    <w:p>
      <w:pPr>
        <w:pStyle w:val="Normal"/>
        <w:widowControl/>
        <w:ind w:firstLine="720" w:end="0"/>
        <w:rPr>
          <w:sz w:val="26"/>
        </w:rPr>
      </w:pPr>
      <w:r>
        <w:rPr>
          <w:sz w:val="26"/>
        </w:rPr>
        <w:t>Idaho Power Company's petition for declaratory order is hereby denied, as discussed in the body of this order.</w:t>
      </w:r>
    </w:p>
    <w:p>
      <w:pPr>
        <w:pStyle w:val="Normal"/>
        <w:widowControl/>
        <w:ind w:firstLine="720" w:end="0"/>
        <w:rPr>
          <w:sz w:val="26"/>
        </w:rPr>
      </w:pPr>
      <w:r>
        <w:rPr>
          <w:sz w:val="26"/>
        </w:rPr>
      </w:r>
    </w:p>
    <w:p>
      <w:pPr>
        <w:pStyle w:val="Normal"/>
        <w:widowControl/>
        <w:rPr>
          <w:sz w:val="26"/>
        </w:rPr>
      </w:pPr>
      <w:r>
        <w:rPr>
          <w:sz w:val="26"/>
        </w:rPr>
        <w:t>By the Commission.</w:t>
      </w:r>
    </w:p>
    <w:p>
      <w:pPr>
        <w:pStyle w:val="Normal"/>
        <w:widowControl/>
        <w:rPr>
          <w:sz w:val="26"/>
        </w:rPr>
      </w:pPr>
      <w:r>
        <w:rPr>
          <w:sz w:val="26"/>
        </w:rPr>
      </w:r>
    </w:p>
    <w:p>
      <w:pPr>
        <w:pStyle w:val="Normal"/>
        <w:widowControl/>
        <w:rPr>
          <w:sz w:val="26"/>
        </w:rPr>
      </w:pPr>
      <w:r>
        <w:rPr>
          <w:sz w:val="26"/>
        </w:rPr>
        <w:t>( S E A L )</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jc w:val="center"/>
        <w:rPr>
          <w:sz w:val="26"/>
        </w:rPr>
      </w:pPr>
      <w:r>
        <w:rPr>
          <w:sz w:val="26"/>
        </w:rPr>
        <w:t xml:space="preserve">                                      </w:t>
      </w:r>
      <w:r>
        <w:rPr>
          <w:sz w:val="26"/>
        </w:rPr>
        <w:t>Linwood A. Watson, Jr.,</w:t>
      </w:r>
    </w:p>
    <w:p>
      <w:pPr>
        <w:pStyle w:val="Normal"/>
        <w:widowControl/>
        <w:jc w:val="center"/>
        <w:rPr>
          <w:sz w:val="26"/>
        </w:rPr>
      </w:pPr>
      <w:r>
        <w:rPr>
          <w:sz w:val="26"/>
        </w:rPr>
        <w:t xml:space="preserve">                                      </w:t>
      </w:r>
      <w:r>
        <w:rPr>
          <w:sz w:val="26"/>
        </w:rPr>
        <w:t>Acting Secretary.</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sectPr>
      <w:footnotePr>
        <w:numFmt w:val="decimal"/>
      </w:footnote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The Service Agreement was accepted in </w:t>
      </w:r>
      <w:r>
        <w:rPr>
          <w:sz w:val="26"/>
          <w:u w:val="single"/>
        </w:rPr>
        <w:t>Idaho Power Company</w:t>
      </w:r>
      <w:r>
        <w:rPr>
          <w:sz w:val="26"/>
        </w:rPr>
        <w:t>, 91 FERC ¶ 61,108 (2000).</w:t>
      </w:r>
    </w:p>
  </w:footnote>
  <w:footnote w:id="3">
    <w:p>
      <w:pPr>
        <w:pStyle w:val="Normal"/>
        <w:spacing w:before="0" w:after="240"/>
        <w:ind w:firstLine="720" w:end="0"/>
        <w:rPr/>
      </w:pPr>
      <w:r>
        <w:rPr>
          <w:rStyle w:val="FootnoteCharacters"/>
        </w:rPr>
        <w:footnoteRef/>
      </w:r>
      <w:r>
        <w:rPr>
          <w:sz w:val="26"/>
        </w:rPr>
        <w:t>PacifiCorp has a prior entitlement to the Idaho transmission capacity under a pre-existing agreement, but cannot use the capacity without facility upgrades to PacifiCorp's system which require eighteen months to complete. Therefore, the capacity is being used by Arizona Public Service in eighteen-month increments.</w:t>
      </w:r>
    </w:p>
  </w:footnote>
  <w:footnote w:id="4">
    <w:p>
      <w:pPr>
        <w:pStyle w:val="Normal"/>
        <w:spacing w:before="0" w:after="240"/>
        <w:ind w:firstLine="720" w:end="0"/>
        <w:rPr/>
      </w:pPr>
      <w:r>
        <w:rPr>
          <w:rStyle w:val="FootnoteCharacters"/>
        </w:rPr>
        <w:footnoteRef/>
      </w:r>
      <w:r>
        <w:rPr>
          <w:sz w:val="26"/>
          <w:u w:val="single"/>
        </w:rPr>
        <w:t>Idaho Power Company</w:t>
      </w:r>
      <w:r>
        <w:rPr>
          <w:sz w:val="26"/>
        </w:rPr>
        <w:t>, 90 FERC ¶ 61,009 (2000) (</w:t>
      </w:r>
      <w:r>
        <w:rPr>
          <w:sz w:val="26"/>
          <w:u w:val="single"/>
        </w:rPr>
        <w:t>Idaho Power</w:t>
      </w:r>
      <w:r>
        <w:rPr>
          <w:sz w:val="26"/>
        </w:rPr>
        <w:t>).</w:t>
      </w:r>
    </w:p>
  </w:footnote>
  <w:footnote w:id="5">
    <w:p>
      <w:pPr>
        <w:pStyle w:val="Normal"/>
        <w:spacing w:before="0" w:after="240"/>
        <w:ind w:firstLine="720" w:end="0"/>
        <w:rPr/>
      </w:pPr>
      <w:r>
        <w:rPr>
          <w:rStyle w:val="FootnoteCharacters"/>
        </w:rPr>
        <w:footnoteRef/>
      </w:r>
      <w:r>
        <w:rPr>
          <w:sz w:val="26"/>
        </w:rPr>
        <w:t>66 Fed. Reg. 1663 (2001).</w:t>
      </w:r>
    </w:p>
  </w:footnote>
  <w:footnote w:id="6">
    <w:p>
      <w:pPr>
        <w:pStyle w:val="Normal"/>
        <w:spacing w:before="0" w:after="240"/>
        <w:ind w:firstLine="720" w:end="0"/>
        <w:rPr/>
      </w:pPr>
      <w:r>
        <w:rPr>
          <w:rStyle w:val="FootnoteCharacters"/>
        </w:rPr>
        <w:footnoteRef/>
      </w:r>
      <w:r>
        <w:rPr>
          <w:sz w:val="26"/>
          <w:u w:val="single"/>
        </w:rPr>
        <w:t>See</w:t>
      </w:r>
      <w:r>
        <w:rPr>
          <w:sz w:val="26"/>
        </w:rPr>
        <w:t xml:space="preserve"> Entergy Power Marketing Corporation, </w:t>
      </w:r>
      <w:r>
        <w:rPr>
          <w:sz w:val="26"/>
          <w:u w:val="single"/>
        </w:rPr>
        <w:t>et</w:t>
      </w:r>
      <w:r>
        <w:rPr>
          <w:sz w:val="26"/>
        </w:rPr>
        <w:t xml:space="preserve"> </w:t>
      </w:r>
      <w:r>
        <w:rPr>
          <w:sz w:val="26"/>
          <w:u w:val="single"/>
        </w:rPr>
        <w:t>al</w:t>
      </w:r>
      <w:r>
        <w:rPr>
          <w:sz w:val="26"/>
        </w:rPr>
        <w:t>., 91 FERC ¶ 61,276 (2000).</w:t>
      </w:r>
    </w:p>
  </w:footnote>
  <w:footnote w:id="7">
    <w:p>
      <w:pPr>
        <w:pStyle w:val="Normal"/>
        <w:spacing w:before="0" w:after="240"/>
        <w:ind w:firstLine="720" w:end="0"/>
        <w:rPr/>
      </w:pPr>
      <w:r>
        <w:rPr>
          <w:rStyle w:val="FootnoteCharacters"/>
        </w:rPr>
        <w:footnoteRef/>
      </w:r>
      <w:r>
        <w:rPr>
          <w:sz w:val="26"/>
        </w:rPr>
        <w:t>Order No. 888-A, FERC Stats. &amp; Regs. ¶ 31,048 at 30,197 (1997).</w:t>
      </w:r>
    </w:p>
  </w:footnote>
  <w:footnote w:id="8">
    <w:p>
      <w:pPr>
        <w:pStyle w:val="Normal"/>
        <w:spacing w:before="0" w:after="240"/>
        <w:ind w:firstLine="720" w:end="0"/>
        <w:rPr/>
      </w:pPr>
      <w:r>
        <w:rPr>
          <w:rStyle w:val="FootnoteCharacters"/>
        </w:rPr>
        <w:footnoteRef/>
      </w:r>
      <w:r>
        <w:rPr>
          <w:sz w:val="26"/>
          <w:u w:val="single"/>
        </w:rPr>
        <w:t>Id</w:t>
      </w:r>
      <w:r>
        <w:rPr>
          <w:sz w:val="26"/>
        </w:rPr>
        <w:t>. (emphasis added).</w:t>
      </w:r>
    </w:p>
  </w:footnote>
  <w:footnote w:id="9">
    <w:p>
      <w:pPr>
        <w:pStyle w:val="Normal"/>
        <w:spacing w:before="0" w:after="240"/>
        <w:ind w:firstLine="720" w:end="0"/>
        <w:rPr/>
      </w:pPr>
      <w:r>
        <w:rPr>
          <w:rStyle w:val="FootnoteCharacters"/>
        </w:rPr>
        <w:footnoteRef/>
      </w:r>
      <w:r>
        <w:rPr>
          <w:sz w:val="26"/>
          <w:u w:val="single"/>
        </w:rPr>
        <w:t>See</w:t>
      </w:r>
      <w:r>
        <w:rPr>
          <w:sz w:val="26"/>
        </w:rPr>
        <w:t xml:space="preserve"> </w:t>
      </w:r>
      <w:r>
        <w:rPr>
          <w:sz w:val="26"/>
          <w:u w:val="single"/>
        </w:rPr>
        <w:t>supra</w:t>
      </w:r>
      <w:r>
        <w:rPr>
          <w:sz w:val="26"/>
        </w:rPr>
        <w:t xml:space="preserve"> note 2.</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2001-03-19T21:36:00Z</dcterms:created>
  <dc:creator>E51026</dc:creator>
  <dc:description/>
  <dc:language>en-CA</dc:language>
  <cp:lastModifiedBy>E51026</cp:lastModifiedBy>
  <dcterms:modified xsi:type="dcterms:W3CDTF">2001-03-19T21:36:00Z</dcterms:modified>
  <cp:revision>2</cp:revision>
  <dc:subject/>
  <dc:title/>
</cp:coreProperties>
</file>