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4" w:space="1" w:color="000000"/>
          <w:left w:val="single" w:sz="4" w:space="4" w:color="000000"/>
          <w:bottom w:val="single" w:sz="4" w:space="1" w:color="000000"/>
          <w:right w:val="single" w:sz="4" w:space="4" w:color="000000"/>
        </w:pBdr>
        <w:rPr/>
      </w:pPr>
      <w:r>
        <w:rPr/>
      </w:r>
    </w:p>
    <w:p>
      <w:pPr>
        <w:pStyle w:val="Heading"/>
        <w:pBdr>
          <w:top w:val="single" w:sz="4" w:space="1" w:color="000000"/>
          <w:left w:val="single" w:sz="4" w:space="4" w:color="000000"/>
          <w:bottom w:val="single" w:sz="4" w:space="1" w:color="000000"/>
          <w:right w:val="single" w:sz="4" w:space="4" w:color="000000"/>
        </w:pBdr>
        <w:rPr/>
      </w:pPr>
      <w:r>
        <w:rPr/>
        <w:t xml:space="preserve">Regulatory Landscape on Global Climate Change and </w:t>
      </w:r>
    </w:p>
    <w:p>
      <w:pPr>
        <w:pStyle w:val="Normal"/>
        <w:pBdr>
          <w:top w:val="single" w:sz="4" w:space="1" w:color="000000"/>
          <w:left w:val="single" w:sz="4" w:space="4" w:color="000000"/>
          <w:bottom w:val="single" w:sz="4" w:space="1" w:color="000000"/>
          <w:right w:val="single" w:sz="4" w:space="4" w:color="000000"/>
        </w:pBdr>
        <w:autoSpaceDE w:val="false"/>
        <w:jc w:val="center"/>
        <w:rPr>
          <w:b/>
          <w:bCs/>
          <w:sz w:val="28"/>
          <w:szCs w:val="20"/>
        </w:rPr>
      </w:pPr>
      <w:r>
        <w:rPr>
          <w:b/>
          <w:bCs/>
          <w:sz w:val="28"/>
          <w:szCs w:val="20"/>
        </w:rPr>
        <w:t>Greenhouse Gas Emission Reduction Programs in the United States</w:t>
      </w:r>
    </w:p>
    <w:p>
      <w:pPr>
        <w:pStyle w:val="Normal"/>
        <w:pBdr>
          <w:top w:val="single" w:sz="4" w:space="1" w:color="000000"/>
          <w:left w:val="single" w:sz="4" w:space="4" w:color="000000"/>
          <w:bottom w:val="single" w:sz="4" w:space="1" w:color="000000"/>
          <w:right w:val="single" w:sz="4" w:space="4" w:color="000000"/>
        </w:pBdr>
        <w:autoSpaceDE w:val="false"/>
        <w:jc w:val="center"/>
        <w:rPr>
          <w:b/>
          <w:bCs/>
          <w:sz w:val="28"/>
          <w:szCs w:val="20"/>
        </w:rPr>
      </w:pPr>
      <w:r>
        <w:rPr>
          <w:b/>
          <w:bCs/>
          <w:sz w:val="28"/>
          <w:szCs w:val="20"/>
        </w:rPr>
      </w:r>
    </w:p>
    <w:p>
      <w:pPr>
        <w:pStyle w:val="Normal"/>
        <w:numPr>
          <w:ilvl w:val="0"/>
          <w:numId w:val="0"/>
        </w:numPr>
        <w:autoSpaceDE w:val="false"/>
        <w:ind w:hanging="0" w:start="0"/>
        <w:rPr>
          <w:b/>
          <w:bCs/>
          <w:sz w:val="28"/>
          <w:szCs w:val="20"/>
        </w:rPr>
      </w:pPr>
      <w:r>
        <w:rPr>
          <w:b/>
          <w:bCs/>
          <w:sz w:val="28"/>
          <w:szCs w:val="20"/>
        </w:rPr>
      </w:r>
    </w:p>
    <w:p>
      <w:pPr>
        <w:pStyle w:val="Normal"/>
        <w:autoSpaceDE w:val="false"/>
        <w:ind w:end="-72"/>
        <w:rPr>
          <w:b/>
          <w:bCs/>
          <w:szCs w:val="20"/>
        </w:rPr>
      </w:pPr>
      <w:r>
        <w:rPr>
          <w:b/>
          <w:bCs/>
          <w:szCs w:val="20"/>
        </w:rPr>
        <w:t>Background</w:t>
      </w:r>
    </w:p>
    <w:p>
      <w:pPr>
        <w:pStyle w:val="Normal"/>
        <w:autoSpaceDE w:val="false"/>
        <w:ind w:end="-72"/>
        <w:rPr>
          <w:b/>
          <w:bCs/>
          <w:szCs w:val="20"/>
        </w:rPr>
      </w:pPr>
      <w:r>
        <w:rPr>
          <w:b/>
          <w:bCs/>
          <w:szCs w:val="20"/>
        </w:rPr>
      </w:r>
    </w:p>
    <w:p>
      <w:pPr>
        <w:pStyle w:val="Normal"/>
        <w:autoSpaceDE w:val="false"/>
        <w:ind w:end="-72"/>
        <w:rPr>
          <w:szCs w:val="20"/>
        </w:rPr>
      </w:pPr>
      <w:r>
        <w:rPr>
          <w:szCs w:val="20"/>
        </w:rPr>
        <w:t>Global warming and global climate change are caused by an increase in atmospheric concentrations of greenhouse gases, including methane and carbon dioxide.  Greenhouse gases trap the sun's heat in the atmosphere causing the earth’s temperature to rise, which results in changes in the global climate.  While uncertainty exists on the extent of human-induced climate change, most scientists acknowledge that human activity has contributed to increasing greenhouse gas concentrations in the atmosphere.  Further, while the scope and timing of the effects of climate change are being assessed, most scientists acknowledge that climate change is a real phenomenon, and its impact will be serious for populations -- increasing the likelihood of floods, droughts, agricultural change and the spread of infectious diseases.  For more information on climate science, please refer to the recently released National Academy of Science report on the topic, http://www4.nationalacademies.org/onpi/webextra.nsf/web/climate?OpenDocument</w:t>
      </w:r>
    </w:p>
    <w:p>
      <w:pPr>
        <w:pStyle w:val="Normal"/>
        <w:autoSpaceDE w:val="false"/>
        <w:ind w:end="-72"/>
        <w:rPr>
          <w:szCs w:val="20"/>
        </w:rPr>
      </w:pPr>
      <w:r>
        <w:rPr>
          <w:szCs w:val="20"/>
        </w:rPr>
      </w:r>
    </w:p>
    <w:p>
      <w:pPr>
        <w:pStyle w:val="Normal"/>
        <w:autoSpaceDE w:val="false"/>
        <w:ind w:end="-72"/>
        <w:rPr>
          <w:b/>
          <w:bCs/>
          <w:szCs w:val="20"/>
        </w:rPr>
      </w:pPr>
      <w:r>
        <w:rPr>
          <w:b/>
          <w:bCs/>
          <w:szCs w:val="20"/>
        </w:rPr>
        <w:t>International Action</w:t>
      </w:r>
    </w:p>
    <w:p>
      <w:pPr>
        <w:pStyle w:val="Normal"/>
        <w:autoSpaceDE w:val="false"/>
        <w:ind w:end="-72"/>
        <w:rPr>
          <w:b/>
          <w:bCs/>
          <w:szCs w:val="20"/>
        </w:rPr>
      </w:pPr>
      <w:r>
        <w:rPr>
          <w:b/>
          <w:bCs/>
          <w:szCs w:val="20"/>
        </w:rPr>
      </w:r>
    </w:p>
    <w:p>
      <w:pPr>
        <w:pStyle w:val="Normal"/>
        <w:autoSpaceDE w:val="false"/>
        <w:ind w:end="-72"/>
        <w:rPr>
          <w:szCs w:val="20"/>
        </w:rPr>
      </w:pPr>
      <w:r>
        <w:rPr>
          <w:szCs w:val="20"/>
        </w:rPr>
        <w:t xml:space="preserve">Due to the potential adverse impacts and the global nature of climate change, leaders from over 160 nations, including the U.S., ratified the United Nations Framework Convention on Climate Change in the early 1990s.  The Convention calls for voluntary greenhouse gas emission reductions by developed countries.  To improve performance in meeting emissions reduction targets, governments negotiated a binding international treaty with mandatory emission reduction commitments, which culminated in the adoption of the Kyoto Protocol in December 1997.  The treaty sets binding greenhouse gas emission reduction targets for developed countries and several economies in transition to, in aggregate, about 5 percent below 1990 levels between 2008 and 2012.  </w:t>
      </w:r>
    </w:p>
    <w:p>
      <w:pPr>
        <w:pStyle w:val="Normal"/>
        <w:autoSpaceDE w:val="false"/>
        <w:ind w:end="-72"/>
        <w:rPr>
          <w:szCs w:val="20"/>
        </w:rPr>
      </w:pPr>
      <w:r>
        <w:rPr>
          <w:szCs w:val="20"/>
        </w:rPr>
        <w:t xml:space="preserve">Developing nations do not have binding commitments under the treaty.  </w:t>
      </w:r>
    </w:p>
    <w:p>
      <w:pPr>
        <w:pStyle w:val="Normal"/>
        <w:autoSpaceDE w:val="false"/>
        <w:ind w:end="-72"/>
        <w:rPr>
          <w:szCs w:val="20"/>
        </w:rPr>
      </w:pPr>
      <w:r>
        <w:rPr>
          <w:szCs w:val="20"/>
        </w:rPr>
      </w:r>
    </w:p>
    <w:p>
      <w:pPr>
        <w:pStyle w:val="Normal"/>
        <w:autoSpaceDE w:val="false"/>
        <w:rPr/>
      </w:pPr>
      <w:r>
        <w:rPr>
          <w:szCs w:val="20"/>
        </w:rPr>
        <w:t xml:space="preserve">The treaty also calls for the adoption of market-based mechanisms to help nations meet their commitments in a cost-effective manner.  The mechanisms are:  international emissions trading among countries with a binding target; and project-based mechanisms, such as Joint Implementation (between countries with a binding target) and the Clean Development Mechanism (between countries with, and without, a binding target).  However, the rules for the market-based mechanisms are still under development and negotiation.  </w:t>
      </w:r>
      <w:r>
        <w:rPr>
          <w:i/>
          <w:iCs/>
          <w:szCs w:val="20"/>
        </w:rPr>
        <w:t>For more information on the Kyoto Protocol, please see the attached presentation.</w:t>
      </w:r>
    </w:p>
    <w:p>
      <w:pPr>
        <w:pStyle w:val="Normal"/>
        <w:autoSpaceDE w:val="false"/>
        <w:ind w:end="-72"/>
        <w:rPr>
          <w:i/>
          <w:i/>
          <w:iCs/>
          <w:szCs w:val="20"/>
        </w:rPr>
      </w:pPr>
      <w:r>
        <w:rPr>
          <w:i/>
          <w:iCs/>
          <w:szCs w:val="20"/>
        </w:rPr>
      </w:r>
    </w:p>
    <w:p>
      <w:pPr>
        <w:pStyle w:val="Heading1"/>
        <w:rPr/>
      </w:pPr>
      <w:r>
        <w:rPr/>
        <w:t>U.S. and The Kyoto Protocol</w:t>
      </w:r>
    </w:p>
    <w:p>
      <w:pPr>
        <w:pStyle w:val="Normal"/>
        <w:autoSpaceDE w:val="false"/>
        <w:ind w:end="-72"/>
        <w:rPr>
          <w:szCs w:val="20"/>
        </w:rPr>
      </w:pPr>
      <w:r>
        <w:rPr>
          <w:szCs w:val="20"/>
        </w:rPr>
      </w:r>
    </w:p>
    <w:p>
      <w:pPr>
        <w:pStyle w:val="Normal"/>
        <w:autoSpaceDE w:val="false"/>
        <w:ind w:end="-72"/>
        <w:rPr>
          <w:szCs w:val="20"/>
        </w:rPr>
      </w:pPr>
      <w:r>
        <w:rPr>
          <w:szCs w:val="20"/>
        </w:rPr>
        <w:t xml:space="preserve">The U.S. signed the Kyoto Protocol but neither the Clinton Administration nor the Bush Administration has submitted the treaty to the Senate for ratification.  The Protocol would require the U.S. to reduce greenhouse gas emissions by 7 percent below 1990 levels between 2008 and 2012.   The Bush Administration has forcefully opposed ratification of the treaty, calling it "fatally flawed."  Opposition to the treaty has centered on its economic impact and the lack of binding commitments on developing countries to reduce emissions. </w:t>
      </w:r>
    </w:p>
    <w:p>
      <w:pPr>
        <w:pStyle w:val="Normal"/>
        <w:autoSpaceDE w:val="false"/>
        <w:rPr>
          <w:szCs w:val="20"/>
        </w:rPr>
      </w:pPr>
      <w:r>
        <w:rPr>
          <w:szCs w:val="20"/>
        </w:rPr>
      </w:r>
    </w:p>
    <w:p>
      <w:pPr>
        <w:pStyle w:val="Normal"/>
        <w:autoSpaceDE w:val="false"/>
        <w:rPr/>
      </w:pPr>
      <w:r>
        <w:rPr>
          <w:szCs w:val="20"/>
        </w:rPr>
        <w:t xml:space="preserve">Despite U.S. opposition to the treaty, other nations, led largely by the European Union, forged political agreements on several key implementation issues related to the Protocol in July 2001.  Final adoption of implementation rules for the Protocol is expected in November 2001.  Meanwhile, the several European countries are implementing national strategies to meet their Kyoto targets and gearing up for ratification by 2002.  Also, the European Union is developing an emissions trading program for member states that is expected to be up and running in 2005.  </w:t>
      </w:r>
      <w:r>
        <w:rPr>
          <w:i/>
          <w:iCs/>
          <w:szCs w:val="20"/>
        </w:rPr>
        <w:t>For more information on the status of greenhouse gas emissions trading programs, please see the attached chart.</w:t>
      </w:r>
    </w:p>
    <w:p>
      <w:pPr>
        <w:pStyle w:val="Normal"/>
        <w:autoSpaceDE w:val="false"/>
        <w:rPr>
          <w:i/>
          <w:i/>
          <w:iCs/>
          <w:szCs w:val="20"/>
        </w:rPr>
      </w:pPr>
      <w:r>
        <w:rPr>
          <w:i/>
          <w:iCs/>
          <w:szCs w:val="20"/>
        </w:rPr>
      </w:r>
    </w:p>
    <w:p>
      <w:pPr>
        <w:pStyle w:val="Heading2"/>
        <w:ind w:hanging="0" w:start="0"/>
        <w:rPr/>
      </w:pPr>
      <w:r>
        <w:rPr/>
        <w:t>Impact of Kyoto Protocol Ratification</w:t>
      </w:r>
    </w:p>
    <w:p>
      <w:pPr>
        <w:pStyle w:val="Normal"/>
        <w:autoSpaceDE w:val="false"/>
        <w:rPr>
          <w:szCs w:val="20"/>
        </w:rPr>
      </w:pPr>
      <w:r>
        <w:rPr>
          <w:szCs w:val="20"/>
        </w:rPr>
      </w:r>
    </w:p>
    <w:p>
      <w:pPr>
        <w:pStyle w:val="Normal"/>
        <w:autoSpaceDE w:val="false"/>
        <w:rPr>
          <w:szCs w:val="20"/>
        </w:rPr>
      </w:pPr>
      <w:r>
        <w:rPr>
          <w:szCs w:val="20"/>
        </w:rPr>
        <w:t>Assuming that the U.S. participates in an international climate change treaty, expected benefits would be the increased use of natural gas in the U.S. and abroad as well as increased demand and new incentives for renewable energy and energy efficiency.  Further, a binding international treaty could spur a robust market for greenhouse gas emissions credits, with potential profits from risk management services and emissions banking and trading.  Possible negative impacts would be new regulations on assets as well as price increases for energy and energy-intensive commodities, which would likely impact trading markets.</w:t>
      </w:r>
    </w:p>
    <w:p>
      <w:pPr>
        <w:pStyle w:val="Normal"/>
        <w:autoSpaceDE w:val="false"/>
        <w:rPr>
          <w:szCs w:val="20"/>
        </w:rPr>
      </w:pPr>
      <w:r>
        <w:rPr>
          <w:szCs w:val="20"/>
        </w:rPr>
      </w:r>
    </w:p>
    <w:p>
      <w:pPr>
        <w:pStyle w:val="Normal"/>
        <w:autoSpaceDE w:val="false"/>
        <w:rPr/>
      </w:pPr>
      <w:r>
        <w:rPr>
          <w:szCs w:val="20"/>
        </w:rPr>
        <w:t>If the U.S. does not participate in a treaty, U.S. firms or products could face non-tariff trade barriers or other discriminatory treatment in foreign markets.  Further, U.S. firms or U.S. based operations would not be able to participate in the market-based mechanisms under the treaty, which could increase the costs of reducing emissions or limit opportunities for emissions trading.  Multinationals could potentially use the market-based mechanisms through their overseas operations (if they are located in a country that is a Party to the Protocol</w:t>
      </w:r>
      <w:r>
        <w:rPr>
          <w:b/>
          <w:bCs/>
          <w:i/>
          <w:iCs/>
          <w:szCs w:val="20"/>
        </w:rPr>
        <w:t>).  Decisions on how private sector entities can participate in trading and as well as how national targets are devolved to sources will be set at the national level.</w:t>
      </w:r>
    </w:p>
    <w:p>
      <w:pPr>
        <w:pStyle w:val="Normal"/>
        <w:autoSpaceDE w:val="false"/>
        <w:rPr>
          <w:b/>
          <w:bCs/>
          <w:i/>
          <w:i/>
          <w:iCs/>
          <w:szCs w:val="20"/>
        </w:rPr>
      </w:pPr>
      <w:r>
        <w:rPr>
          <w:b/>
          <w:bCs/>
          <w:i/>
          <w:iCs/>
          <w:szCs w:val="20"/>
        </w:rPr>
      </w:r>
    </w:p>
    <w:p>
      <w:pPr>
        <w:pStyle w:val="Normal"/>
        <w:autoSpaceDE w:val="false"/>
        <w:rPr>
          <w:szCs w:val="20"/>
        </w:rPr>
      </w:pPr>
      <w:r>
        <w:rPr>
          <w:szCs w:val="20"/>
        </w:rPr>
        <w:t>Enron has indicated its support for a binding multilateral agreement to reduce greenhouse gas emissions provided that it:</w:t>
      </w:r>
    </w:p>
    <w:p>
      <w:pPr>
        <w:pStyle w:val="Normal"/>
        <w:autoSpaceDE w:val="false"/>
        <w:rPr>
          <w:szCs w:val="20"/>
        </w:rPr>
      </w:pPr>
      <w:r>
        <w:rPr>
          <w:szCs w:val="20"/>
        </w:rPr>
      </w:r>
    </w:p>
    <w:p>
      <w:pPr>
        <w:pStyle w:val="Normal"/>
        <w:numPr>
          <w:ilvl w:val="0"/>
          <w:numId w:val="2"/>
        </w:numPr>
        <w:autoSpaceDE w:val="false"/>
        <w:rPr>
          <w:szCs w:val="20"/>
        </w:rPr>
      </w:pPr>
      <w:r>
        <w:rPr>
          <w:szCs w:val="20"/>
        </w:rPr>
        <w:t xml:space="preserve">Includes market-based solutions, such as emissions trading; </w:t>
      </w:r>
    </w:p>
    <w:p>
      <w:pPr>
        <w:pStyle w:val="Normal"/>
        <w:numPr>
          <w:ilvl w:val="0"/>
          <w:numId w:val="2"/>
        </w:numPr>
        <w:autoSpaceDE w:val="false"/>
        <w:rPr>
          <w:szCs w:val="20"/>
        </w:rPr>
      </w:pPr>
      <w:r>
        <w:rPr>
          <w:szCs w:val="20"/>
        </w:rPr>
        <w:t>Evaluates the economic impact of these solutions to assure there are no significant adverse effects; and</w:t>
      </w:r>
    </w:p>
    <w:p>
      <w:pPr>
        <w:pStyle w:val="Normal"/>
        <w:numPr>
          <w:ilvl w:val="0"/>
          <w:numId w:val="2"/>
        </w:numPr>
        <w:autoSpaceDE w:val="false"/>
        <w:rPr>
          <w:szCs w:val="20"/>
        </w:rPr>
      </w:pPr>
      <w:r>
        <w:rPr>
          <w:szCs w:val="20"/>
        </w:rPr>
        <w:t>Assures the approach taken to reduce carbon dioxide emissions is worldwide.</w:t>
      </w:r>
    </w:p>
    <w:p>
      <w:pPr>
        <w:pStyle w:val="Normal"/>
        <w:autoSpaceDE w:val="false"/>
        <w:rPr>
          <w:b/>
          <w:bCs/>
          <w:szCs w:val="20"/>
        </w:rPr>
      </w:pPr>
      <w:r>
        <w:rPr>
          <w:b/>
          <w:bCs/>
          <w:szCs w:val="20"/>
        </w:rPr>
      </w:r>
    </w:p>
    <w:p>
      <w:pPr>
        <w:pStyle w:val="Heading2"/>
        <w:ind w:hanging="0" w:start="0"/>
        <w:rPr>
          <w:b w:val="false"/>
          <w:bCs w:val="false"/>
          <w:szCs w:val="20"/>
        </w:rPr>
      </w:pPr>
      <w:r>
        <w:rPr>
          <w:b w:val="false"/>
          <w:bCs w:val="false"/>
          <w:szCs w:val="20"/>
        </w:rPr>
      </w:r>
    </w:p>
    <w:p>
      <w:pPr>
        <w:pStyle w:val="Heading2"/>
        <w:ind w:hanging="0" w:start="0"/>
        <w:rPr/>
      </w:pPr>
      <w:r>
        <w:rPr/>
      </w:r>
    </w:p>
    <w:p>
      <w:pPr>
        <w:pStyle w:val="Heading2"/>
        <w:ind w:hanging="0" w:start="0"/>
        <w:rPr/>
      </w:pPr>
      <w:r>
        <w:rPr/>
      </w:r>
    </w:p>
    <w:p>
      <w:pPr>
        <w:pStyle w:val="Heading2"/>
        <w:ind w:hanging="0" w:start="0"/>
        <w:rPr/>
      </w:pPr>
      <w:r>
        <w:rPr/>
        <w:t>Enron's Role in Climate Change Policy Development</w:t>
      </w:r>
    </w:p>
    <w:p>
      <w:pPr>
        <w:pStyle w:val="Normal"/>
        <w:autoSpaceDE w:val="false"/>
        <w:rPr>
          <w:szCs w:val="20"/>
        </w:rPr>
      </w:pPr>
      <w:r>
        <w:rPr>
          <w:szCs w:val="20"/>
        </w:rPr>
      </w:r>
    </w:p>
    <w:p>
      <w:pPr>
        <w:pStyle w:val="Normal"/>
        <w:autoSpaceDE w:val="false"/>
        <w:rPr>
          <w:color w:val="000000"/>
          <w:szCs w:val="20"/>
        </w:rPr>
      </w:pPr>
      <w:r>
        <w:rPr>
          <w:color w:val="000000"/>
          <w:szCs w:val="20"/>
        </w:rPr>
        <w:t xml:space="preserve">Enron is an active participant in business organizations like the U.S. and European Business Councils for Sustainable Energy, the World Business Council for Sustainable Development and the Pew Center on Global Climate Change, which constructively engage with policymakers and the environmental community on climate change and other energy-related challenges.  </w:t>
      </w:r>
    </w:p>
    <w:p>
      <w:pPr>
        <w:pStyle w:val="Normal"/>
        <w:autoSpaceDE w:val="false"/>
        <w:rPr>
          <w:color w:val="000000"/>
          <w:szCs w:val="20"/>
        </w:rPr>
      </w:pPr>
      <w:r>
        <w:rPr>
          <w:color w:val="000000"/>
          <w:szCs w:val="20"/>
        </w:rPr>
      </w:r>
    </w:p>
    <w:p>
      <w:pPr>
        <w:pStyle w:val="Normal"/>
        <w:autoSpaceDE w:val="false"/>
        <w:rPr>
          <w:i/>
          <w:i/>
          <w:iCs/>
          <w:szCs w:val="20"/>
        </w:rPr>
      </w:pPr>
      <w:r>
        <w:rPr>
          <w:color w:val="000000"/>
          <w:szCs w:val="20"/>
        </w:rPr>
        <w:t xml:space="preserve">Critical issues still under consideration in international and domestic discussions on climate change include regulatory certainty for greenhouse gas emission reductions, flexibility of mitigation activities, and participation by developing countries.  Enron continues to share its expertise on how market-based mechanisms included in the Kyoto Protocol - such as emissions trading - could be structured to work effectively.  </w:t>
      </w:r>
      <w:r>
        <w:rPr>
          <w:i/>
          <w:iCs/>
          <w:szCs w:val="20"/>
        </w:rPr>
        <w:t xml:space="preserve">For more information, please refer to Enron’s Global Climate Change Statement, </w:t>
      </w:r>
      <w:hyperlink r:id="rId2">
        <w:r>
          <w:rPr>
            <w:rStyle w:val="Hyperlink"/>
            <w:i/>
            <w:iCs/>
            <w:szCs w:val="20"/>
          </w:rPr>
          <w:t>http://ehs.corp.enron.com/climate2.asp?Topic=Climate</w:t>
        </w:r>
      </w:hyperlink>
    </w:p>
    <w:p>
      <w:pPr>
        <w:pStyle w:val="Heading2"/>
        <w:ind w:hanging="0" w:start="0"/>
        <w:rPr>
          <w:i/>
          <w:i/>
          <w:iCs/>
          <w:szCs w:val="20"/>
        </w:rPr>
      </w:pPr>
      <w:r>
        <w:rPr>
          <w:i/>
          <w:iCs/>
          <w:szCs w:val="20"/>
        </w:rPr>
      </w:r>
    </w:p>
    <w:p>
      <w:pPr>
        <w:pStyle w:val="Heading2"/>
        <w:ind w:hanging="0" w:start="0"/>
        <w:rPr/>
      </w:pPr>
      <w:r>
        <w:rPr/>
        <w:t xml:space="preserve">Federal Activity </w:t>
      </w:r>
    </w:p>
    <w:p>
      <w:pPr>
        <w:pStyle w:val="Normal"/>
        <w:autoSpaceDE w:val="false"/>
        <w:rPr>
          <w:szCs w:val="20"/>
        </w:rPr>
      </w:pPr>
      <w:r>
        <w:rPr>
          <w:szCs w:val="20"/>
        </w:rPr>
      </w:r>
    </w:p>
    <w:p>
      <w:pPr>
        <w:pStyle w:val="Normal"/>
        <w:autoSpaceDE w:val="false"/>
        <w:rPr>
          <w:szCs w:val="20"/>
        </w:rPr>
      </w:pPr>
      <w:r>
        <w:rPr>
          <w:szCs w:val="20"/>
        </w:rPr>
        <w:t xml:space="preserve">In response to the Bush Administration's opposition to the Kyoto Protocol, members of Congress have developed legislation on domestic approaches to address climate change.  The Bush Administration is reportedly working on its own climate change plan, but its scope and the timing on its release are uncertain.  </w:t>
      </w:r>
    </w:p>
    <w:p>
      <w:pPr>
        <w:pStyle w:val="Normal"/>
        <w:autoSpaceDE w:val="false"/>
        <w:rPr>
          <w:szCs w:val="20"/>
        </w:rPr>
      </w:pPr>
      <w:r>
        <w:rPr>
          <w:szCs w:val="20"/>
        </w:rPr>
      </w:r>
    </w:p>
    <w:p>
      <w:pPr>
        <w:pStyle w:val="Normal"/>
        <w:autoSpaceDE w:val="false"/>
        <w:rPr>
          <w:szCs w:val="20"/>
        </w:rPr>
      </w:pPr>
      <w:r>
        <w:rPr>
          <w:szCs w:val="20"/>
        </w:rPr>
        <w:t xml:space="preserve">Regulation of carbon dioxide emissions is also under consideration as part of efforts to reduce power plant emissions of nitrous oxide (NOx), sulfur dioxide (SO2) and mercury.  </w:t>
      </w:r>
    </w:p>
    <w:p>
      <w:pPr>
        <w:pStyle w:val="Normal"/>
        <w:autoSpaceDE w:val="false"/>
        <w:rPr>
          <w:szCs w:val="20"/>
        </w:rPr>
      </w:pPr>
      <w:r>
        <w:rPr>
          <w:szCs w:val="20"/>
        </w:rPr>
        <w:t xml:space="preserve"> </w:t>
      </w:r>
    </w:p>
    <w:p>
      <w:pPr>
        <w:pStyle w:val="Normal"/>
        <w:autoSpaceDE w:val="false"/>
        <w:rPr>
          <w:szCs w:val="20"/>
        </w:rPr>
      </w:pPr>
      <w:r>
        <w:rPr>
          <w:szCs w:val="20"/>
        </w:rPr>
        <w:t>The Congress is also considering adding provisions on climate change as part of its national energy legislation.  Sections from the bills highlighted below would likely be included in a climate change piece of a comprehensive energy bill.  Timing on movement of an energy bill is in flux, but unlikely this year.</w:t>
      </w:r>
    </w:p>
    <w:p>
      <w:pPr>
        <w:pStyle w:val="Normal"/>
        <w:autoSpaceDE w:val="false"/>
        <w:rPr>
          <w:szCs w:val="20"/>
        </w:rPr>
      </w:pPr>
      <w:r>
        <w:rPr>
          <w:szCs w:val="20"/>
        </w:rPr>
      </w:r>
    </w:p>
    <w:p>
      <w:pPr>
        <w:pStyle w:val="Heading3"/>
        <w:ind w:hanging="0" w:start="0"/>
        <w:rPr/>
      </w:pPr>
      <w:r>
        <w:rPr/>
        <w:t>Key Federal Legislation on Climate Change in 2001</w:t>
      </w:r>
    </w:p>
    <w:p>
      <w:pPr>
        <w:pStyle w:val="Normal"/>
        <w:numPr>
          <w:ilvl w:val="0"/>
          <w:numId w:val="3"/>
        </w:numPr>
        <w:autoSpaceDE w:val="false"/>
        <w:spacing w:before="100" w:after="100"/>
        <w:rPr>
          <w:szCs w:val="20"/>
        </w:rPr>
      </w:pPr>
      <w:r>
        <w:rPr>
          <w:szCs w:val="20"/>
        </w:rPr>
        <w:t>In August, Senator John McCain (R-AZ) and Senator Joseph Lieberman (D-CT) made a joint statement on the Senate floor calling for an economy-wide cap and trade program to reduce greenhouse gas emissions.  They laid out a timeframe for consultation with stakeholders, including U.S. industry, and development of legislation in the fall of 2001.  In the aftermath of September 11, this has not progressed.</w:t>
      </w:r>
    </w:p>
    <w:p>
      <w:pPr>
        <w:pStyle w:val="Normal"/>
        <w:numPr>
          <w:ilvl w:val="0"/>
          <w:numId w:val="4"/>
        </w:numPr>
        <w:autoSpaceDE w:val="false"/>
        <w:spacing w:before="100" w:after="100"/>
        <w:ind w:hanging="380" w:start="380" w:end="0"/>
        <w:rPr>
          <w:i/>
          <w:i/>
          <w:iCs/>
          <w:szCs w:val="20"/>
        </w:rPr>
      </w:pPr>
      <w:r>
        <w:rPr>
          <w:szCs w:val="20"/>
        </w:rPr>
        <w:t>In July, the Senate Government Affairs committee approved climate change legislation sponsored by Senator Robert Byrd (D-W. Virginia) and Senator Ted Stevens (R-AL).  The bill would require development of a U.S. climate change response strategy with a long-term goal of stabilizing greenhouse gas emissions in the U.S.  The strategy would seek ways to mitigate emissions and promote technology innovation.  It also calls for adaptation research and efforts to resolve scientific and economic uncertainties.  It would authorize spending of $4.9 billion over 10 years.</w:t>
      </w:r>
    </w:p>
    <w:p>
      <w:pPr>
        <w:pStyle w:val="Normal"/>
        <w:numPr>
          <w:ilvl w:val="0"/>
          <w:numId w:val="4"/>
        </w:numPr>
        <w:autoSpaceDE w:val="false"/>
        <w:spacing w:before="100" w:after="100"/>
        <w:ind w:hanging="380" w:start="380" w:end="0"/>
        <w:rPr>
          <w:szCs w:val="20"/>
        </w:rPr>
      </w:pPr>
      <w:r>
        <w:rPr>
          <w:szCs w:val="20"/>
        </w:rPr>
        <w:t>In July, the Senate Foreign Relations committee passed a non-binding resolution calling for the U.S. to engage in the climate change negotiations.</w:t>
      </w:r>
    </w:p>
    <w:p>
      <w:pPr>
        <w:pStyle w:val="Normal"/>
        <w:numPr>
          <w:ilvl w:val="0"/>
          <w:numId w:val="4"/>
        </w:numPr>
        <w:autoSpaceDE w:val="false"/>
        <w:spacing w:before="100" w:after="100"/>
        <w:ind w:hanging="380" w:start="380" w:end="0"/>
        <w:rPr>
          <w:szCs w:val="20"/>
        </w:rPr>
      </w:pPr>
      <w:r>
        <w:rPr>
          <w:szCs w:val="20"/>
        </w:rPr>
        <w:t>Senator Frank Murkowski (R-AL), Senator Chuck Hagel (R-NE), Senator Larry Craig (R-ID) and others introduced legislation that provides for tax incentives for energy efficiency and clean energy technologies, increased research on climate science and government coordination on climate change.</w:t>
      </w:r>
    </w:p>
    <w:p>
      <w:pPr>
        <w:pStyle w:val="Normal"/>
        <w:numPr>
          <w:ilvl w:val="0"/>
          <w:numId w:val="4"/>
        </w:numPr>
        <w:autoSpaceDE w:val="false"/>
        <w:spacing w:before="100" w:after="100"/>
        <w:ind w:hanging="380" w:start="380" w:end="0"/>
        <w:rPr/>
      </w:pPr>
      <w:r>
        <w:rPr/>
        <w:t xml:space="preserve">Senator Sam Brownback (R-KS) and Senator Ron Wyden (D-OR) introduced legislation to enable reporting and provide credit for land management and sequestration under a national climate change program. </w:t>
      </w:r>
    </w:p>
    <w:p>
      <w:pPr>
        <w:pStyle w:val="Heading2"/>
        <w:spacing w:before="100" w:after="100"/>
        <w:ind w:hanging="0" w:start="0"/>
        <w:rPr>
          <w:szCs w:val="24"/>
        </w:rPr>
      </w:pPr>
      <w:r>
        <w:rPr>
          <w:szCs w:val="24"/>
        </w:rPr>
        <w:t>Regional, State and Municipal Activity</w:t>
      </w:r>
    </w:p>
    <w:p>
      <w:pPr>
        <w:pStyle w:val="Heading2"/>
        <w:spacing w:before="100" w:after="100"/>
        <w:ind w:hanging="0" w:start="0"/>
        <w:rPr>
          <w:b w:val="false"/>
          <w:bCs w:val="false"/>
        </w:rPr>
      </w:pPr>
      <w:r>
        <w:rPr>
          <w:b w:val="false"/>
          <w:bCs w:val="false"/>
        </w:rPr>
        <w:t>In the absence of a national climate change plan, many states and municipalities are moving ahead with programs and legislation to reduce greenhouse gas emissions.  Some proposals follow the multipollutant model, while others have focused on incentives for emissions reductions through renewable energy and/or energy efficiency as well as public awareness.  Several states are considering emissions trading as a vehicle to reduce the costs associated with emissions reductions.</w:t>
      </w:r>
    </w:p>
    <w:p>
      <w:pPr>
        <w:pStyle w:val="Normal"/>
        <w:autoSpaceDE w:val="false"/>
        <w:spacing w:before="100" w:after="100"/>
        <w:rPr/>
      </w:pPr>
      <w:r>
        <w:rPr>
          <w:szCs w:val="20"/>
        </w:rPr>
        <w:t xml:space="preserve">On a regional scale, </w:t>
      </w:r>
      <w:r>
        <w:rPr>
          <w:color w:val="000000"/>
          <w:szCs w:val="20"/>
        </w:rPr>
        <w:t>New England governors and Eastern Canadian premiers adopted a non-binding resolution to reduce greenhouse gas emissions in August.  Goals set under the plan are:</w:t>
      </w:r>
    </w:p>
    <w:p>
      <w:pPr>
        <w:pStyle w:val="Normal"/>
        <w:numPr>
          <w:ilvl w:val="0"/>
          <w:numId w:val="4"/>
        </w:numPr>
        <w:autoSpaceDE w:val="false"/>
        <w:ind w:hanging="380" w:start="380" w:end="0"/>
        <w:rPr>
          <w:color w:val="000000"/>
          <w:szCs w:val="20"/>
        </w:rPr>
      </w:pPr>
      <w:r>
        <w:rPr>
          <w:color w:val="000000"/>
          <w:szCs w:val="20"/>
        </w:rPr>
        <w:t>reduce regional greenhouse gas emissions to 1990 levels by 2010</w:t>
      </w:r>
    </w:p>
    <w:p>
      <w:pPr>
        <w:pStyle w:val="Normal"/>
        <w:numPr>
          <w:ilvl w:val="0"/>
          <w:numId w:val="4"/>
        </w:numPr>
        <w:autoSpaceDE w:val="false"/>
        <w:ind w:hanging="380" w:start="380" w:end="0"/>
        <w:rPr>
          <w:color w:val="000000"/>
          <w:szCs w:val="20"/>
        </w:rPr>
      </w:pPr>
      <w:r>
        <w:rPr>
          <w:color w:val="000000"/>
          <w:szCs w:val="20"/>
        </w:rPr>
        <w:t>reduce regional greenhouse gas emissions by 10 percent below 1990 levels by 2020</w:t>
      </w:r>
    </w:p>
    <w:p>
      <w:pPr>
        <w:pStyle w:val="Normal"/>
        <w:numPr>
          <w:ilvl w:val="0"/>
          <w:numId w:val="4"/>
        </w:numPr>
        <w:autoSpaceDE w:val="false"/>
        <w:ind w:hanging="380" w:start="380" w:end="0"/>
        <w:rPr>
          <w:color w:val="000000"/>
          <w:szCs w:val="20"/>
        </w:rPr>
      </w:pPr>
      <w:r>
        <w:rPr>
          <w:color w:val="000000"/>
          <w:szCs w:val="20"/>
        </w:rPr>
        <w:t>reduce greenhouse gas emissions to "eliminate any dangerous to the climate" (perhaps as much as a 75 - 85 percent cut in emissions) over an unspecified longer timeframe</w:t>
      </w:r>
    </w:p>
    <w:p>
      <w:pPr>
        <w:pStyle w:val="Normal"/>
        <w:autoSpaceDE w:val="false"/>
        <w:rPr>
          <w:color w:val="000000"/>
          <w:szCs w:val="20"/>
        </w:rPr>
      </w:pPr>
      <w:r>
        <w:rPr>
          <w:color w:val="000000"/>
          <w:szCs w:val="20"/>
        </w:rPr>
      </w:r>
    </w:p>
    <w:p>
      <w:pPr>
        <w:pStyle w:val="Normal"/>
        <w:autoSpaceDE w:val="false"/>
        <w:rPr>
          <w:szCs w:val="20"/>
        </w:rPr>
      </w:pPr>
      <w:r>
        <w:rPr>
          <w:szCs w:val="20"/>
        </w:rPr>
        <w:t>Specifically, New England, Northeastern and Pacific Northwest states are considering, or have adopted, state plans to reduce greenhouse gas emissions, including Massachusetts, New York, Maine, New Hampshire, and Oregon.  Municipalities including Seattle, Chicago and New York City are also taking steps to reduce greenhouse gas emissions.  Some of these programs will allow emissions trading to meet emission reduction obligations.</w:t>
      </w:r>
    </w:p>
    <w:p>
      <w:pPr>
        <w:pStyle w:val="Normal"/>
        <w:autoSpaceDE w:val="false"/>
        <w:rPr>
          <w:b/>
          <w:bCs/>
          <w:szCs w:val="20"/>
          <w:u w:val="single"/>
        </w:rPr>
      </w:pPr>
      <w:r>
        <w:rPr>
          <w:b/>
          <w:bCs/>
          <w:szCs w:val="20"/>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0" w:end="-72"/>
      <w:outlineLvl w:val="0"/>
    </w:pPr>
    <w:rPr>
      <w:b/>
      <w:bCs/>
      <w:szCs w:val="20"/>
    </w:rPr>
  </w:style>
  <w:style w:type="paragraph" w:styleId="Heading2">
    <w:name w:val="heading 2"/>
    <w:basedOn w:val="Normal"/>
    <w:next w:val="Normal"/>
    <w:qFormat/>
    <w:pPr>
      <w:keepNext w:val="true"/>
      <w:numPr>
        <w:ilvl w:val="1"/>
        <w:numId w:val="1"/>
      </w:numPr>
      <w:autoSpaceDE w:val="false"/>
      <w:outlineLvl w:val="1"/>
    </w:pPr>
    <w:rPr>
      <w:b/>
      <w:bCs/>
      <w:szCs w:val="20"/>
    </w:rPr>
  </w:style>
  <w:style w:type="paragraph" w:styleId="Heading3">
    <w:name w:val="heading 3"/>
    <w:basedOn w:val="Normal"/>
    <w:next w:val="Normal"/>
    <w:qFormat/>
    <w:pPr>
      <w:keepNext w:val="true"/>
      <w:numPr>
        <w:ilvl w:val="2"/>
        <w:numId w:val="1"/>
      </w:numPr>
      <w:autoSpaceDE w:val="false"/>
      <w:outlineLvl w:val="2"/>
    </w:pPr>
    <w:rPr>
      <w:b/>
      <w:bCs/>
      <w:i/>
      <w:iCs/>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autoSpaceDE w:val="false"/>
      <w:jc w:val="center"/>
    </w:pPr>
    <w:rPr>
      <w:b/>
      <w:bCs/>
      <w:sz w:val="28"/>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hs.corp.enron.com/climate2.asp?Topic=Climat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2001-10-11T17:20:00Z</dcterms:created>
  <dc:creator>ljacobso</dc:creator>
  <dc:description/>
  <dc:language>en-CA</dc:language>
  <cp:lastModifiedBy>ljacobso</cp:lastModifiedBy>
  <cp:lastPrinted>2001-10-12T12:18:00Z</cp:lastPrinted>
  <dcterms:modified xsi:type="dcterms:W3CDTF">2001-10-12T16:31:00Z</dcterms:modified>
  <cp:revision>22</cp:revision>
  <dc:subject/>
  <dc:title>·</dc:title>
</cp:coreProperties>
</file>