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 xml:space="preserve">EFET Position Paper in response to the EC Green Paper </w:t>
      </w:r>
    </w:p>
    <w:p>
      <w:pPr>
        <w:pStyle w:val="Normal"/>
        <w:jc w:val="center"/>
        <w:rPr>
          <w:b/>
          <w:sz w:val="28"/>
          <w:u w:val="single"/>
        </w:rPr>
      </w:pPr>
      <w:r>
        <w:rPr>
          <w:b/>
          <w:sz w:val="28"/>
          <w:u w:val="single"/>
        </w:rPr>
        <w:t>for the Security of Energy Supply</w:t>
      </w:r>
    </w:p>
    <w:p>
      <w:pPr>
        <w:pStyle w:val="Normal"/>
        <w:rPr>
          <w:b/>
          <w:sz w:val="20"/>
          <w:u w:val="single"/>
        </w:rPr>
      </w:pPr>
      <w:r>
        <w:rPr>
          <w:b/>
          <w:sz w:val="20"/>
          <w:u w:val="single"/>
        </w:rPr>
      </w:r>
    </w:p>
    <w:p>
      <w:pPr>
        <w:pStyle w:val="Normal"/>
        <w:jc w:val="center"/>
        <w:rPr>
          <w:b/>
          <w:sz w:val="28"/>
          <w:u w:val="single"/>
        </w:rPr>
      </w:pPr>
      <w:r>
        <w:rPr>
          <w:b/>
          <w:sz w:val="28"/>
          <w:u w:val="single"/>
        </w:rPr>
      </w:r>
    </w:p>
    <w:p>
      <w:pPr>
        <w:pStyle w:val="Normal"/>
        <w:rPr/>
      </w:pPr>
      <w:r>
        <w:rPr/>
        <w:t>EFET welcomes the European Commission's investigations into the security of European energy supply and is pleased to take the opportunity to input into this process. We have commented only on those areas where we have the relevant expertise to do so.</w:t>
      </w:r>
    </w:p>
    <w:p>
      <w:pPr>
        <w:pStyle w:val="Normal"/>
        <w:rPr/>
      </w:pPr>
      <w:r>
        <w:rPr/>
      </w:r>
    </w:p>
    <w:p>
      <w:pPr>
        <w:pStyle w:val="Normal"/>
        <w:rPr>
          <w:b/>
        </w:rPr>
      </w:pPr>
      <w:r>
        <w:rPr>
          <w:b/>
        </w:rPr>
        <w:t>Summary</w:t>
      </w:r>
    </w:p>
    <w:p>
      <w:pPr>
        <w:pStyle w:val="Normal"/>
        <w:rPr>
          <w:b/>
        </w:rPr>
      </w:pPr>
      <w:r>
        <w:rPr>
          <w:b/>
        </w:rPr>
      </w:r>
    </w:p>
    <w:p>
      <w:pPr>
        <w:pStyle w:val="Normal"/>
        <w:rPr/>
      </w:pPr>
      <w:r>
        <w:rPr/>
        <w:t xml:space="preserve">EFET believes that the European Union can increase its dependence on external energy sources whilst </w:t>
      </w:r>
      <w:r>
        <w:rPr>
          <w:u w:val="single"/>
        </w:rPr>
        <w:t>increasing</w:t>
      </w:r>
      <w:r>
        <w:rPr/>
        <w:t xml:space="preserve"> security of supply and maintaining industrial competitiveness. </w:t>
      </w:r>
    </w:p>
    <w:p>
      <w:pPr>
        <w:pStyle w:val="Normal"/>
        <w:rPr/>
      </w:pPr>
      <w:r>
        <w:rPr/>
      </w:r>
    </w:p>
    <w:p>
      <w:pPr>
        <w:pStyle w:val="Normal"/>
        <w:rPr/>
      </w:pPr>
      <w:r>
        <w:rPr/>
        <w:t xml:space="preserve">When considering security of supply it is important to consider the level of diversity, political situation and geographic perspectives for each individual fuel source. Such analysis should include the timescales over which potential disruptions may begin to be felt and the ability to fuel switch between sources. It is also vital to identify and then manage the political risks associated with energy imports into the EU. </w:t>
      </w:r>
    </w:p>
    <w:p>
      <w:pPr>
        <w:pStyle w:val="Normal"/>
        <w:rPr>
          <w:b/>
          <w:i/>
          <w:i/>
        </w:rPr>
      </w:pPr>
      <w:r>
        <w:rPr>
          <w:b/>
          <w:i/>
        </w:rPr>
      </w:r>
    </w:p>
    <w:p>
      <w:pPr>
        <w:pStyle w:val="Normal"/>
        <w:rPr/>
      </w:pPr>
      <w:r>
        <w:rPr/>
        <w:t>As Member States have different indigenous energy sources and load patterns, we believe that it is more appropriate for the development of country-specific strategies to address security of supply issues.  However, it is important to ensure that these also take into account the wider EU perspective. EFET therefore believes that independent supervisory authorities responsible for energy commodity markets within Member States, in conjunction with the Ministries responsible for energy policy, should be accountable for addressing such issues in their individual markets. The European Commission has an important role in overseeing framework policies, particularly from the political perspective. This will be moreso in some product areas specifically oil - because of the international trading patterns outside of the EU and the existing strategic storage practices for endurance stocks - than others. EFET does not believe that corresponding arrangements are required for other energy sources.</w:t>
      </w:r>
    </w:p>
    <w:p>
      <w:pPr>
        <w:pStyle w:val="Normal"/>
        <w:rPr/>
      </w:pPr>
      <w:r>
        <w:rPr/>
      </w:r>
    </w:p>
    <w:p>
      <w:pPr>
        <w:pStyle w:val="Normal"/>
        <w:rPr/>
      </w:pPr>
      <w:r>
        <w:rPr/>
        <w:t xml:space="preserve">In particular, EFET strongly believes that the European Commission has a major role to play in ensuring the full liberalisation of European energy markets, which is fundamental to improving security of energy supply in the European Union. </w:t>
      </w:r>
    </w:p>
    <w:p>
      <w:pPr>
        <w:pStyle w:val="Normal"/>
        <w:rPr/>
      </w:pPr>
      <w:r>
        <w:rPr/>
      </w:r>
    </w:p>
    <w:p>
      <w:pPr>
        <w:pStyle w:val="Normal"/>
        <w:rPr/>
      </w:pPr>
      <w:r>
        <w:rPr/>
        <w:t>EFET believes that the Green paper somewhat confuses the issue of security of supply with the pursuit of environmental objectives. We agree that the development of renewables can add to fuel diversity however large scale development of renewables will not necessarily add to security of supply. For example, intermittent sources such as wind will still require alternative forms of conventional generation as replacement in the event of low wind speeds. Such "replacement" generation may not find it economically viable to remain connected to the grid at low utilisation factors and may be retired, which could in turn reduce security margins. It is important to distinguish between the rationale of supporting renewables from an environmental perspective and the issue of security of supply.</w:t>
      </w:r>
    </w:p>
    <w:p>
      <w:pPr>
        <w:pStyle w:val="Normal"/>
        <w:rPr/>
      </w:pPr>
      <w:r>
        <w:rPr/>
      </w:r>
    </w:p>
    <w:p>
      <w:pPr>
        <w:pStyle w:val="Normal"/>
        <w:rPr>
          <w:b/>
        </w:rPr>
      </w:pPr>
      <w:r>
        <w:rPr>
          <w:b/>
        </w:rPr>
        <w:t>Acceleration of liberalisation</w:t>
      </w:r>
    </w:p>
    <w:p>
      <w:pPr>
        <w:pStyle w:val="Normal"/>
        <w:rPr>
          <w:b/>
        </w:rPr>
      </w:pPr>
      <w:r>
        <w:rPr>
          <w:b/>
        </w:rPr>
      </w:r>
    </w:p>
    <w:p>
      <w:pPr>
        <w:pStyle w:val="Normal"/>
        <w:rPr/>
      </w:pPr>
      <w:r>
        <w:rPr/>
        <w:t>EFET firmly believes that the acceleration of the liberalisation of the European energy market will make a significant contribution to addressing security of supply issues and supports the European Commission's proposals for the full opening of the energy market by 2005. We strongly agree with the comments contained in the Brattle Group's study on "Methodologies for establishing national and cross border systems of pricing of access to the gas system" that liberalisation will increase security of supply through the more efficient operation of the market as a result of greater trade between Member States. EFET is currently undertaking further analysis on gas security of supply issues and will forward a copy of its work to the Commission in due course.</w:t>
      </w:r>
    </w:p>
    <w:p>
      <w:pPr>
        <w:pStyle w:val="Normal"/>
        <w:rPr/>
      </w:pPr>
      <w:r>
        <w:rPr/>
      </w:r>
    </w:p>
    <w:p>
      <w:pPr>
        <w:pStyle w:val="Normal"/>
        <w:rPr/>
      </w:pPr>
      <w:r>
        <w:rPr/>
        <w:t xml:space="preserve">For example, an increase in the number of market participants will improve security of supply through improving the diversity of commercial arrangements. Market participants will be incentivised to diversify supply sources, storage and transmission routes to manage their risks combined with the development of innovative financial and hedging products. A fully competitive market will also deliver transparent price signals to market participants that will result in more effective operation of the market and management of energy supplies. We also note it will reduce the risks of a monopoly company making inefficient and/or incorrect decisions that would adversely affect the market place as a whole, as companies subject to real commercial pressures are unlikely to enter into poor-value or politically-brokered arrangements. In turn producers would also face strong pressures to respond to the risk management requirements of their customers. </w:t>
      </w:r>
    </w:p>
    <w:p>
      <w:pPr>
        <w:pStyle w:val="Normal"/>
        <w:rPr/>
      </w:pPr>
      <w:r>
        <w:rPr/>
      </w:r>
    </w:p>
    <w:p>
      <w:pPr>
        <w:pStyle w:val="Normal"/>
        <w:rPr/>
      </w:pPr>
      <w:r>
        <w:rPr/>
        <w:t xml:space="preserve">In order to develop competitive market it is vital to introduce full legal unbundling of generation and supply from the natural monopolies of transmission and distribution combined with the appropriate operational incentivisation of the network operators and the mandatory introduction of regulated third party access. Full competition in both generation and retail markets is required. </w:t>
      </w:r>
    </w:p>
    <w:p>
      <w:pPr>
        <w:pStyle w:val="Normal"/>
        <w:rPr/>
      </w:pPr>
      <w:r>
        <w:rPr/>
      </w:r>
    </w:p>
    <w:p>
      <w:pPr>
        <w:pStyle w:val="Normal"/>
        <w:rPr/>
      </w:pPr>
      <w:r>
        <w:rPr/>
        <w:t xml:space="preserve">For effective market opening it is vital to resolve the cross-border issues in both electricity and gas and in principle EFET supports the Commission's proposals for an electricity regulation and advocate that a similar approach be considered for gas. It is important that existing interconnector transmission constraints, including intra-country transmission constraints, are addressed as a priority. It is therefore vital that the Transmission System Operators (TSOs) work together to improve system compatibility and streamline processes in relation to cross border interoperability issues. An improved level of standardisation is necessary to ensure the development of a truly single European energy market and hence increase security of supply. </w:t>
      </w:r>
    </w:p>
    <w:p>
      <w:pPr>
        <w:pStyle w:val="Normal"/>
        <w:rPr/>
      </w:pPr>
      <w:r>
        <w:rPr/>
      </w:r>
    </w:p>
    <w:p>
      <w:pPr>
        <w:pStyle w:val="Normal"/>
        <w:rPr/>
      </w:pPr>
      <w:r>
        <w:rPr/>
        <w:t>We also believe that it is paramount for TSOs, and indeed Member States, to develop non-discriminatory non-transaction based solutions to alleviate congestion (e.g. market splitting and counter trading) in addition to progressing physical solutions. We welcome the planned revision of the Energy TENs guidelines and strongly advocate that any infrastructure funding should be conditional upon allowing non-discriminatory access.</w:t>
      </w:r>
    </w:p>
    <w:p>
      <w:pPr>
        <w:pStyle w:val="Normal"/>
        <w:rPr/>
      </w:pPr>
      <w:r>
        <w:rPr/>
      </w:r>
    </w:p>
    <w:p>
      <w:pPr>
        <w:pStyle w:val="Normal"/>
        <w:rPr/>
      </w:pPr>
      <w:r>
        <w:rPr/>
        <w:t xml:space="preserve">Other pre-requisites in this area are full transparency and non-discriminatory access to all services e.g. gas storage and ancillary services such as balancing and gas blending. The development of energy exchanges will further catalyse this shift, as will appropriate, but not excessive, harmonisation of rules across Europe.  Effective unbundling of both distribution and transmission will remove many of the problems inherent in developing competitive markets.  </w:t>
      </w:r>
    </w:p>
    <w:p>
      <w:pPr>
        <w:pStyle w:val="Normal"/>
        <w:rPr/>
      </w:pPr>
      <w:r>
        <w:rPr/>
      </w:r>
    </w:p>
    <w:p>
      <w:pPr>
        <w:pStyle w:val="Normal"/>
        <w:rPr/>
      </w:pPr>
      <w:r>
        <w:rPr/>
        <w:t xml:space="preserve">EFET is keen to see the adoption of legislation to accelerate the liberalisation of European markets, and its implementation by Member States, as soon as practicable. It is important to ensure that the security of supply issue is not allowed to restrict or delay the implementation of the European single energy market or to create artificial barriers to competition. Member States must only be permitted to adopt justifiable security of supply requirements that are reasonable, transparent and non-discriminatory. </w:t>
        <w:br/>
      </w:r>
    </w:p>
    <w:p>
      <w:pPr>
        <w:pStyle w:val="Normal"/>
        <w:rPr/>
      </w:pPr>
      <w:r>
        <w:rPr/>
        <w:t xml:space="preserve">Competition rules play an important part in ensuring the development of the single European energy market both in the case of Articles 81 and 82 of European competition law and in examining the impact of potential mergers and market consolidation. In particular it is important to ensure that sufficient competition is established in each Member State and across Europe as a whole.  </w:t>
        <w:br/>
      </w:r>
    </w:p>
    <w:p>
      <w:pPr>
        <w:pStyle w:val="Normal"/>
        <w:rPr>
          <w:b/>
        </w:rPr>
      </w:pPr>
      <w:r>
        <w:rPr>
          <w:b/>
        </w:rPr>
        <w:t xml:space="preserve">Electricity </w:t>
      </w:r>
    </w:p>
    <w:p>
      <w:pPr>
        <w:pStyle w:val="Normal"/>
        <w:rPr>
          <w:b/>
        </w:rPr>
      </w:pPr>
      <w:r>
        <w:rPr>
          <w:b/>
        </w:rPr>
      </w:r>
    </w:p>
    <w:p>
      <w:pPr>
        <w:pStyle w:val="Normal"/>
        <w:rPr/>
      </w:pPr>
      <w:r>
        <w:rPr/>
        <w:t>Currently there are minimal electricity imports into the European Union. Security of supply will be improved by the increased ability to access generation outside of the EU from power stations that are compliant with environmental standards negotiated in the bilateral discussions with the accession countries seeking membership of the European Union. Provided full competition is implemented in both electricity and gas and the specific gas issues discussed below are addressed EFET believes that security of supply in relation to electricity should not be a major concern. However it is important to ensure that the mistakes made in California are not repeated in the European Union. These have been separately addressed by EFET in its paper on the California crisis.</w:t>
      </w:r>
    </w:p>
    <w:p>
      <w:pPr>
        <w:pStyle w:val="Normal"/>
        <w:rPr/>
      </w:pPr>
      <w:r>
        <w:rPr/>
      </w:r>
    </w:p>
    <w:p>
      <w:pPr>
        <w:pStyle w:val="Normal"/>
        <w:rPr>
          <w:u w:val="single"/>
        </w:rPr>
      </w:pPr>
      <w:r>
        <w:rPr>
          <w:b/>
        </w:rPr>
        <w:t>Gas - specific gas trading comments to be provided by the Gas Working Group - more generic comments could include:-</w:t>
      </w:r>
      <w:r>
        <w:rPr/>
        <w:br/>
      </w:r>
    </w:p>
    <w:p>
      <w:pPr>
        <w:pStyle w:val="Normal"/>
        <w:rPr/>
      </w:pPr>
      <w:r>
        <w:rPr/>
        <w:t>Gas is somewhat less of a global commodity than oil on account of infrastructure limitations. However, due to the indexation of the long-term legacy contracts with major producers in Europe with oil, in price terms gas suffers from the same vulnerabilities as oil. It is vital that the indexation linkage of gas contracts with oil is broken and that all new supplies are secured on terms appropriate to competitive markets otherwise the competitiveness of European industry will continue to be damaged.</w:t>
      </w:r>
    </w:p>
    <w:p>
      <w:pPr>
        <w:pStyle w:val="Normal"/>
        <w:rPr/>
      </w:pPr>
      <w:r>
        <w:rPr/>
      </w:r>
    </w:p>
    <w:p>
      <w:pPr>
        <w:pStyle w:val="Normal"/>
        <w:rPr/>
      </w:pPr>
      <w:r>
        <w:rPr/>
        <w:t>Gas release programmes are a key aspect ………………</w:t>
      </w:r>
    </w:p>
    <w:p>
      <w:pPr>
        <w:pStyle w:val="Normal"/>
        <w:rPr/>
      </w:pPr>
      <w:r>
        <w:rPr/>
        <w:br/>
        <w:t>EFET agrees that increasing gas demand in the European Union, combined with a reduction in indigenous production, will result in greater dependence on gas imports. Gas is therefore increasingly likely to be sourced from Algeria and Russia, as well as Norway, and theoretically this could lead to some security of supply issues. However, gas exports are extremely important to the Russian economy, and it is to be expected that Russia would take all available steps to ensure the continuation of its key revenue stream, which is derived from gas.</w:t>
      </w:r>
    </w:p>
    <w:p>
      <w:pPr>
        <w:pStyle w:val="Normal"/>
        <w:rPr/>
      </w:pPr>
      <w:r>
        <w:rPr/>
      </w:r>
    </w:p>
    <w:p>
      <w:pPr>
        <w:pStyle w:val="Normal"/>
        <w:rPr/>
      </w:pPr>
      <w:r>
        <w:rPr/>
        <w:t>EFET believes that security of supply can be improved if Russia were to ratify the Energy Charter Treaty and advocates that the Commission continues to facilitate this process.  Similarly we would advocate that the Commission should be encouraging the development of a framework that allows commercial investment in Russia by international upstream companies to reduce the considerable existing commercial risk. EEFT also believes that diversity of supplies would be enhanced though gas supplies from Turkmenistan and the Caspian Basin and that this the Commission should also be encouraging this approach in addition to the Russian-focussed initiatives. Similarly political counter-measures preventing potential disruptions of gas supplies through transit countries also need to be implemented.</w:t>
      </w:r>
    </w:p>
    <w:p>
      <w:pPr>
        <w:pStyle w:val="Normal"/>
        <w:rPr/>
      </w:pPr>
      <w:r>
        <w:rPr/>
      </w:r>
    </w:p>
    <w:p>
      <w:pPr>
        <w:pStyle w:val="Normal"/>
        <w:rPr/>
      </w:pPr>
      <w:r>
        <w:rPr/>
        <w:t>However, we do not support the use of long-term contracts, which would distort competition and continue the damaging linkage of gas prices with oil prices. The potential curtailment of energy supplies through political intervention will not be prevented by long term contracts, particularly if undertaken by monopoly purchasers. It is our belief that such arrangements actually make it easier for suppliers to avoid assuming full responsibility for commercial and technical risk resulting in higher prices and sub-optimal operation. We note that long term contracts failed to mitigate the oil-price shocks experienced in the 1970s.</w:t>
      </w:r>
    </w:p>
    <w:p>
      <w:pPr>
        <w:pStyle w:val="Normal"/>
        <w:rPr/>
      </w:pPr>
      <w:r>
        <w:rPr/>
      </w:r>
    </w:p>
    <w:p>
      <w:pPr>
        <w:pStyle w:val="Normal"/>
        <w:rPr>
          <w:b/>
        </w:rPr>
      </w:pPr>
      <w:r>
        <w:rPr>
          <w:b/>
        </w:rPr>
        <w:t>Oil</w:t>
      </w:r>
    </w:p>
    <w:p>
      <w:pPr>
        <w:pStyle w:val="Normal"/>
        <w:rPr>
          <w:b/>
        </w:rPr>
      </w:pPr>
      <w:r>
        <w:rPr>
          <w:b/>
        </w:rPr>
      </w:r>
    </w:p>
    <w:p>
      <w:pPr>
        <w:pStyle w:val="Normal"/>
        <w:rPr/>
      </w:pPr>
      <w:r>
        <w:rPr/>
        <w:t>EFET believes that oil is one of the fuels where there may be more significant issues. In general these will impact particularly on the transport sector and to a much lesser extent on electricity, which is increasingly less dependent on oil-fired generation. A growing proportion of world oil production capacity is controlled by a small number of less-democratic countries, mainly located in the Middle East. It is therefore important for the Commission to continue to work with Member States to minimise the risk of a co-ordinated disruption of supply by the OPEC members. As with gas it is important to create the conditions in other possible oil producing countries, such as Russia and the Caspian basin, for private sector investment in production to take place thereby increasing diversity of supply.</w:t>
      </w:r>
    </w:p>
    <w:p>
      <w:pPr>
        <w:pStyle w:val="Normal"/>
        <w:rPr/>
      </w:pPr>
      <w:r>
        <w:rPr/>
      </w:r>
    </w:p>
    <w:p>
      <w:pPr>
        <w:pStyle w:val="Normal"/>
        <w:rPr>
          <w:b/>
        </w:rPr>
      </w:pPr>
      <w:r>
        <w:rPr>
          <w:b/>
        </w:rPr>
        <w:t xml:space="preserve">Coal </w:t>
      </w:r>
    </w:p>
    <w:p>
      <w:pPr>
        <w:pStyle w:val="Normal"/>
        <w:rPr>
          <w:b/>
        </w:rPr>
      </w:pPr>
      <w:r>
        <w:rPr>
          <w:b/>
        </w:rPr>
      </w:r>
    </w:p>
    <w:p>
      <w:pPr>
        <w:pStyle w:val="Normal"/>
        <w:rPr/>
      </w:pPr>
      <w:r>
        <w:rPr/>
        <w:t>EFET does not believe that fuel import dependency in relation to coal for the electricity generation sector is a major issue as coal is already traded widely as an international commodity. This will be further enhanced through the development of on-line international coal trading, [for example the Global Coal initiative and other on-line platforms,] which EFET is pleased to support.</w:t>
      </w:r>
    </w:p>
    <w:p>
      <w:pPr>
        <w:pStyle w:val="Normal"/>
        <w:rPr/>
      </w:pPr>
      <w:r>
        <w:rPr/>
      </w:r>
    </w:p>
    <w:p>
      <w:pPr>
        <w:pStyle w:val="Normal"/>
        <w:rPr/>
      </w:pPr>
      <w:r>
        <w:rPr/>
        <w:t>It is important to balance security of supply and environmental considerations however it should be recognised that mid to low-merit coal-fired power stations (at the cost of temporarily increased emissions) provide considerable flexibility to increase output if required. This significantly improves generation security of supply as world coal supplies are expected to continue to be widely available. We therefore believe that coal can provide fuel diversity to gas and hydro (in the event of low rainfall) generation sources and has an important role in maintaining European Union security of supply. This does not appear to have been reflected in the Green paper.</w:t>
      </w:r>
    </w:p>
    <w:p>
      <w:pPr>
        <w:pStyle w:val="Normal"/>
        <w:rPr/>
      </w:pPr>
      <w:r>
        <w:rPr/>
      </w:r>
    </w:p>
    <w:p>
      <w:pPr>
        <w:pStyle w:val="Normal"/>
        <w:rPr/>
      </w:pPr>
      <w:r>
        <w:rPr/>
        <w:t>However, EFET is concerned that recent consolidation in the world coal market over the past year has concentrated almost 70% of the "natural" supply sources to the Atlantic basin under the control of just three major players, which could lead to market abuse through cartel-like operation.</w:t>
      </w:r>
    </w:p>
    <w:p>
      <w:pPr>
        <w:pStyle w:val="Normal"/>
        <w:rPr/>
      </w:pPr>
      <w:r>
        <w:rPr/>
        <w:br/>
      </w:r>
      <w:r>
        <w:rPr>
          <w:b/>
        </w:rPr>
        <w:t>Nuclear</w:t>
      </w:r>
    </w:p>
    <w:p>
      <w:pPr>
        <w:pStyle w:val="Normal"/>
        <w:rPr/>
      </w:pPr>
      <w:r>
        <w:rPr/>
      </w:r>
    </w:p>
    <w:p>
      <w:pPr>
        <w:pStyle w:val="Normal"/>
        <w:rPr/>
      </w:pPr>
      <w:r>
        <w:rPr/>
        <w:t>Similarly EFET does not believe that import dependency of uranium is a major issue, as international markets are liquid and on account of the diversity of uranium sources and the long lead times in the nuclear fuel cycle. The key issues here are the public acceptance of nuclear energy and resolution of the fuel-reprocessing issue.</w:t>
      </w:r>
    </w:p>
    <w:p>
      <w:pPr>
        <w:pStyle w:val="Normal"/>
        <w:rPr/>
      </w:pPr>
      <w:r>
        <w:rPr/>
      </w:r>
    </w:p>
    <w:p>
      <w:pPr>
        <w:pStyle w:val="Normal"/>
        <w:rPr>
          <w:b/>
        </w:rPr>
      </w:pPr>
      <w:r>
        <w:rPr>
          <w:b/>
        </w:rPr>
        <w:t>Renewables</w:t>
        <w:br/>
      </w:r>
    </w:p>
    <w:p>
      <w:pPr>
        <w:pStyle w:val="Normal"/>
        <w:rPr/>
      </w:pPr>
      <w:r>
        <w:rPr/>
        <w:t>EFET supports the development of additional renewable capacity in the EU and believes that the development of green certificate trading will facilitate this process.  EFET strongly advocates the use of market-based mechanisms specifically aimed at encouraging new-build generation rather than direct subsidies. It is also important to ensure that any potential market distortion is minimised therefore EFET does not support the introduction of excessive levels of external aid that would severely distort the market. Any public policy agreements must be compliant with state aid rules and with financial support provided through transparent and non-discriminatory market-based mechanisms. Otherwise this would provide market distortion through inefficient pricing signals that could detrimentally impact on security of supply and the liberalising energy market.</w:t>
      </w:r>
    </w:p>
    <w:p>
      <w:pPr>
        <w:pStyle w:val="Normal"/>
        <w:rPr/>
      </w:pPr>
      <w:r>
        <w:rPr/>
      </w:r>
    </w:p>
    <w:p>
      <w:pPr>
        <w:pStyle w:val="Normal"/>
        <w:rPr/>
      </w:pPr>
      <w:r>
        <w:rPr/>
        <w:t xml:space="preserve">Renewable generation will provide added diversity of supply as well delivering environmental improvements however this may not automatically increase security of supply. Many renewable generation sources are inflexible and may need the back-up of additional generation capacity fuelled from conventional sources, which will have cost implications. </w:t>
      </w:r>
    </w:p>
    <w:p>
      <w:pPr>
        <w:pStyle w:val="Normal"/>
        <w:rPr>
          <w:b/>
        </w:rPr>
      </w:pPr>
      <w:r>
        <w:rPr>
          <w:b/>
        </w:rPr>
      </w:r>
    </w:p>
    <w:p>
      <w:pPr>
        <w:pStyle w:val="Normal"/>
        <w:rPr>
          <w:b/>
        </w:rPr>
      </w:pPr>
      <w:r>
        <w:rPr>
          <w:b/>
        </w:rPr>
        <w:t>Climate Change</w:t>
      </w:r>
    </w:p>
    <w:p>
      <w:pPr>
        <w:pStyle w:val="Normal"/>
        <w:rPr>
          <w:b/>
        </w:rPr>
      </w:pPr>
      <w:r>
        <w:rPr>
          <w:b/>
        </w:rPr>
      </w:r>
    </w:p>
    <w:p>
      <w:pPr>
        <w:pStyle w:val="Normal"/>
        <w:rPr/>
      </w:pPr>
      <w:r>
        <w:rPr/>
        <w:t xml:space="preserve">In principle EFET supports the use of flexible, market-based mechanisms for delivering any climate change targets that were to be agreed at a multi-lateral level, including the Kyoto Protocol if ratified. In particular we believe that emissions trading can deliver real emission reductions at lower cost when compared to other fiscal instruments such as energy taxation.    </w:t>
      </w:r>
    </w:p>
    <w:p>
      <w:pPr>
        <w:pStyle w:val="Normal"/>
        <w:rPr/>
      </w:pPr>
      <w:r>
        <w:rPr/>
      </w:r>
    </w:p>
    <w:p>
      <w:pPr>
        <w:pStyle w:val="Normal"/>
        <w:rPr>
          <w:b/>
        </w:rPr>
      </w:pPr>
      <w:r>
        <w:rPr>
          <w:b/>
        </w:rPr>
        <w:t>Sustainability</w:t>
      </w:r>
    </w:p>
    <w:p>
      <w:pPr>
        <w:pStyle w:val="Normal"/>
        <w:rPr>
          <w:b/>
        </w:rPr>
      </w:pPr>
      <w:r>
        <w:rPr>
          <w:b/>
        </w:rPr>
      </w:r>
    </w:p>
    <w:p>
      <w:pPr>
        <w:pStyle w:val="Normal"/>
        <w:rPr/>
      </w:pPr>
      <w:r>
        <w:rPr/>
        <w:t xml:space="preserve">EFET believes that a more sustainable energy system can only be developed through stakeholder dialogue between interested parties - Government, manufacturers, NGOs, generators, network operators, suppliers and customers etc. Traders also have an important role to play and as such EFET would be pleased to contribute to the debate. </w:t>
      </w:r>
    </w:p>
    <w:sectPr>
      <w:headerReference w:type="default" r:id="rId2"/>
      <w:footerReference w:type="default" r:id="rId3"/>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electricity working group draft for discussion</w:t>
      <w:tab/>
    </w:r>
    <w:r>
      <w:rPr/>
      <w:fldChar w:fldCharType="begin"/>
    </w:r>
    <w:r>
      <w:rPr/>
      <w:instrText xml:space="preserve"> DATE \@"dd\/MM\/yy" </w:instrText>
    </w:r>
    <w:r>
      <w:rPr/>
      <w:fldChar w:fldCharType="separate"/>
    </w:r>
    <w:r>
      <w:rPr/>
      <w:t>28/09/25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26"/>
        </w:tabs>
        <w:ind w:start="926" w:hanging="360"/>
      </w:pPr>
      <w:rPr>
        <w:rFonts w:ascii="Symbol" w:hAnsi="Symbol" w:cs="Symbol" w:hint="default"/>
      </w:rPr>
    </w:lvl>
  </w:abstractNum>
  <w:abstractNum w:abstractNumId="3">
    <w:lvl w:ilvl="0">
      <w:start w:val="1"/>
      <w:numFmt w:val="bullet"/>
      <w:lvlText w:val=""/>
      <w:lvlJc w:val="start"/>
      <w:pPr>
        <w:tabs>
          <w:tab w:val="num" w:pos="643"/>
        </w:tabs>
        <w:ind w:start="643" w:hanging="360"/>
      </w:pPr>
      <w:rPr>
        <w:rFonts w:ascii="Symbol" w:hAnsi="Symbol" w:cs="Symbol" w:hint="default"/>
      </w:rPr>
    </w:lvl>
  </w:abstractNum>
  <w:abstractNum w:abstractNumId="4">
    <w:lvl w:ilvl="0">
      <w:start w:val="1"/>
      <w:numFmt w:val="bullet"/>
      <w:lvlText w:val=""/>
      <w:lvlJc w:val="start"/>
      <w:pPr>
        <w:tabs>
          <w:tab w:val="num" w:pos="709"/>
        </w:tabs>
        <w:ind w:start="709" w:hanging="709"/>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spacing w:before="120" w:after="240"/>
      <w:outlineLvl w:val="0"/>
    </w:pPr>
    <w:rPr>
      <w:b/>
      <w:smallCaps/>
      <w:kern w:val="2"/>
      <w:sz w:val="28"/>
      <w:u w:val="single"/>
    </w:rPr>
  </w:style>
  <w:style w:type="paragraph" w:styleId="Heading2">
    <w:name w:val="heading 2"/>
    <w:basedOn w:val="Normal"/>
    <w:next w:val="Normal"/>
    <w:qFormat/>
    <w:pPr>
      <w:keepNext w:val="true"/>
      <w:numPr>
        <w:ilvl w:val="1"/>
        <w:numId w:val="1"/>
      </w:numPr>
      <w:spacing w:before="60" w:after="240"/>
      <w:outlineLvl w:val="1"/>
    </w:pPr>
    <w:rPr>
      <w:b/>
      <w:sz w:val="24"/>
      <w:u w:val="single"/>
    </w:rPr>
  </w:style>
  <w:style w:type="paragraph" w:styleId="Heading3">
    <w:name w:val="heading 3"/>
    <w:basedOn w:val="Normal"/>
    <w:next w:val="Normal"/>
    <w:qFormat/>
    <w:pPr>
      <w:keepNext w:val="true"/>
      <w:numPr>
        <w:ilvl w:val="2"/>
        <w:numId w:val="1"/>
      </w:numPr>
      <w:spacing w:before="60" w:after="240"/>
      <w:outlineLvl w:val="2"/>
    </w:pPr>
    <w:rPr>
      <w:b/>
      <w:sz w:val="24"/>
    </w:rPr>
  </w:style>
  <w:style w:type="paragraph" w:styleId="Heading4">
    <w:name w:val="heading 4"/>
    <w:basedOn w:val="Normal"/>
    <w:next w:val="Normal"/>
    <w:qFormat/>
    <w:pPr>
      <w:keepNext w:val="true"/>
      <w:numPr>
        <w:ilvl w:val="3"/>
        <w:numId w:val="1"/>
      </w:numPr>
      <w:spacing w:before="60" w:after="240"/>
      <w:outlineLvl w:val="3"/>
    </w:pPr>
    <w:rPr>
      <w:b/>
    </w:rPr>
  </w:style>
  <w:style w:type="paragraph" w:styleId="Heading5">
    <w:name w:val="heading 5"/>
    <w:basedOn w:val="Normal"/>
    <w:next w:val="Normal"/>
    <w:qFormat/>
    <w:pPr>
      <w:numPr>
        <w:ilvl w:val="4"/>
        <w:numId w:val="1"/>
      </w:numPr>
      <w:spacing w:before="60" w:after="240"/>
      <w:outlineLvl w:val="4"/>
    </w:pPr>
    <w:rPr/>
  </w:style>
  <w:style w:type="paragraph" w:styleId="Heading6">
    <w:name w:val="heading 6"/>
    <w:basedOn w:val="Normal"/>
    <w:next w:val="Normal"/>
    <w:qFormat/>
    <w:pPr>
      <w:numPr>
        <w:ilvl w:val="5"/>
        <w:numId w:val="1"/>
      </w:numPr>
      <w:spacing w:before="60" w:after="240"/>
      <w:outlineLvl w:val="5"/>
    </w:pPr>
    <w:rPr>
      <w:i/>
    </w:rPr>
  </w:style>
  <w:style w:type="paragraph" w:styleId="Heading7">
    <w:name w:val="heading 7"/>
    <w:basedOn w:val="Normal"/>
    <w:next w:val="Normal"/>
    <w:qFormat/>
    <w:pPr>
      <w:numPr>
        <w:ilvl w:val="6"/>
        <w:numId w:val="1"/>
      </w:numPr>
      <w:spacing w:before="60" w:after="240"/>
      <w:outlineLvl w:val="6"/>
    </w:pPr>
    <w:rPr/>
  </w:style>
  <w:style w:type="paragraph" w:styleId="Heading8">
    <w:name w:val="heading 8"/>
    <w:basedOn w:val="Normal"/>
    <w:next w:val="Normal"/>
    <w:qFormat/>
    <w:pPr>
      <w:numPr>
        <w:ilvl w:val="7"/>
        <w:numId w:val="1"/>
      </w:numPr>
      <w:spacing w:before="60" w:after="240"/>
      <w:outlineLvl w:val="7"/>
    </w:pPr>
    <w:rPr>
      <w:i/>
      <w:sz w:val="20"/>
    </w:rPr>
  </w:style>
  <w:style w:type="paragraph" w:styleId="Heading9">
    <w:name w:val="heading 9"/>
    <w:basedOn w:val="Normal"/>
    <w:next w:val="Normal"/>
    <w:qFormat/>
    <w:pPr>
      <w:numPr>
        <w:ilvl w:val="8"/>
        <w:numId w:val="1"/>
      </w:numPr>
      <w:spacing w:before="60" w:after="240"/>
      <w:outlineLvl w:val="8"/>
    </w:pPr>
    <w:rPr>
      <w:b/>
      <w:i/>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rPr>
  </w:style>
  <w:style w:type="character" w:styleId="WW8Num9z0">
    <w:name w:val="WW8Num9z0"/>
    <w:qFormat/>
    <w:rPr>
      <w:b/>
    </w:rPr>
  </w:style>
  <w:style w:type="character" w:styleId="WW8Num10z0">
    <w:name w:val="WW8Num10z0"/>
    <w:qFormat/>
    <w:rPr>
      <w:b w:val="false"/>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rPr>
  </w:style>
  <w:style w:type="character" w:styleId="WW8Num14z0">
    <w:name w:val="WW8Num14z0"/>
    <w:qFormat/>
    <w:rPr>
      <w:b w:val="fals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rPr>
  </w:style>
  <w:style w:type="character" w:styleId="WW8Num18z0">
    <w:name w:val="WW8Num18z0"/>
    <w:qFormat/>
    <w:rPr>
      <w:b/>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b/>
    </w:rPr>
  </w:style>
  <w:style w:type="character" w:styleId="WW8Num22z0">
    <w:name w:val="WW8Num22z0"/>
    <w:qFormat/>
    <w:rPr>
      <w:b w:val="false"/>
    </w:rPr>
  </w:style>
  <w:style w:type="character" w:styleId="WW8Num23z0">
    <w:name w:val="WW8Num23z0"/>
    <w:qFormat/>
    <w:rPr/>
  </w:style>
  <w:style w:type="character" w:styleId="WW8Num24z0">
    <w:name w:val="WW8Num24z0"/>
    <w:qFormat/>
    <w:rPr>
      <w:b w:val="false"/>
    </w:rPr>
  </w:style>
  <w:style w:type="character" w:styleId="WW8Num26z0">
    <w:name w:val="WW8Num26z0"/>
    <w:qFormat/>
    <w:rPr>
      <w:b/>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709" w:end="0"/>
    </w:pPr>
    <w:rPr/>
  </w:style>
  <w:style w:type="paragraph" w:styleId="TOC1">
    <w:name w:val="toc 1"/>
    <w:basedOn w:val="Normal"/>
    <w:next w:val="Normal"/>
    <w:pPr/>
    <w:rPr>
      <w:b/>
      <w:u w:val="single"/>
    </w:rPr>
  </w:style>
  <w:style w:type="paragraph" w:styleId="TOC2">
    <w:name w:val="toc 2"/>
    <w:basedOn w:val="Normal"/>
    <w:next w:val="Normal"/>
    <w:pPr>
      <w:ind w:hanging="0" w:start="2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36" w:leader="none"/>
        <w:tab w:val="right" w:pos="9072"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536" w:leader="none"/>
        <w:tab w:val="right" w:pos="9072" w:leader="none"/>
      </w:tabs>
    </w:pPr>
    <w:rPr/>
  </w:style>
  <w:style w:type="paragraph" w:styleId="Index1">
    <w:name w:val="index 1"/>
    <w:basedOn w:val="Normal"/>
    <w:next w:val="Normal"/>
    <w:pPr>
      <w:ind w:hanging="354" w:start="354" w:end="0"/>
    </w:pPr>
    <w:rPr/>
  </w:style>
  <w:style w:type="paragraph" w:styleId="Index2">
    <w:name w:val="index 2"/>
    <w:basedOn w:val="Normal"/>
    <w:next w:val="Normal"/>
    <w:pPr>
      <w:ind w:hanging="352" w:start="704" w:end="0"/>
    </w:pPr>
    <w:rPr/>
  </w:style>
  <w:style w:type="paragraph" w:styleId="Index3">
    <w:name w:val="index 3"/>
    <w:basedOn w:val="Normal"/>
    <w:next w:val="Normal"/>
    <w:pPr>
      <w:ind w:hanging="352" w:start="1061" w:end="0"/>
    </w:pPr>
    <w:rPr/>
  </w:style>
  <w:style w:type="paragraph" w:styleId="TOC3">
    <w:name w:val="toc 3"/>
    <w:basedOn w:val="Normal"/>
    <w:next w:val="Normal"/>
    <w:pPr>
      <w:ind w:hanging="0" w:start="4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4"/>
      </w:numPr>
    </w:pPr>
    <w:rPr/>
  </w:style>
  <w:style w:type="paragraph" w:styleId="ListBullet2">
    <w:name w:val="List Bullet 2"/>
    <w:basedOn w:val="Normal"/>
    <w:qFormat/>
    <w:pPr>
      <w:numPr>
        <w:ilvl w:val="0"/>
        <w:numId w:val="3"/>
      </w:numPr>
      <w:tabs>
        <w:tab w:val="clear" w:pos="720"/>
        <w:tab w:val="left" w:pos="709" w:leader="none"/>
      </w:tabs>
      <w:ind w:hanging="709" w:start="1418" w:end="0"/>
    </w:pPr>
    <w:rPr/>
  </w:style>
  <w:style w:type="paragraph" w:styleId="ListBullet3">
    <w:name w:val="List Bullet 3"/>
    <w:basedOn w:val="Normal"/>
    <w:qFormat/>
    <w:pPr>
      <w:numPr>
        <w:ilvl w:val="0"/>
        <w:numId w:val="2"/>
      </w:numPr>
      <w:tabs>
        <w:tab w:val="clear" w:pos="720"/>
      </w:tabs>
      <w:ind w:hanging="709" w:start="2127"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2001-02-13T11:57:00Z</dcterms:created>
  <dc:creator>HeatArkl</dc:creator>
  <dc:description/>
  <dc:language>en-CA</dc:language>
  <cp:lastModifiedBy>Brian Samuel</cp:lastModifiedBy>
  <cp:lastPrinted>2001-04-05T16:26:00Z</cp:lastPrinted>
  <dcterms:modified xsi:type="dcterms:W3CDTF">2001-04-23T08:52:00Z</dcterms:modified>
  <cp:revision>43</cp:revision>
  <dc:subject/>
  <dc:title>Green Paper for the Security of Energy Supply</dc:title>
</cp:coreProperties>
</file>