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Addendum Notes</w:t>
      </w:r>
    </w:p>
    <w:p>
      <w:pPr>
        <w:pStyle w:val="Normal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Subtitle"/>
        <w:rPr/>
      </w:pPr>
      <w:r>
        <w:rPr/>
        <w:t>Background and Recent Key Initiatives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 xml:space="preserve">Background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0"/>
        </w:numPr>
        <w:rPr>
          <w:rFonts w:ascii="Arial" w:hAnsi="Arial" w:cs="Arial"/>
        </w:rPr>
      </w:pPr>
      <w:r>
        <w:rPr>
          <w:rFonts w:cs="Arial" w:ascii="Arial" w:hAnsi="Arial"/>
        </w:rPr>
        <w:t>Oxford has had tremendous growth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1"/>
          <w:numId w:val="14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60,000 to 150,000 sites in 6 months as of March ’01 (4.2 years average length of contract)</w:t>
      </w:r>
    </w:p>
    <w:p>
      <w:pPr>
        <w:pStyle w:val="Normal"/>
        <w:numPr>
          <w:ilvl w:val="1"/>
          <w:numId w:val="14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Power fully deregulated in 1999, ₤75MM mark-to-market power (£74.5MM) and gas (£.5MM) books</w:t>
      </w:r>
    </w:p>
    <w:p>
      <w:pPr>
        <w:pStyle w:val="Normal"/>
        <w:numPr>
          <w:ilvl w:val="1"/>
          <w:numId w:val="14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Gas business stable and less significant.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Foot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Recent Key Initiatives in past six months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10"/>
        </w:numPr>
        <w:rPr>
          <w:rFonts w:ascii="Arial" w:hAnsi="Arial" w:cs="Arial"/>
        </w:rPr>
      </w:pPr>
      <w:r>
        <w:rPr>
          <w:rFonts w:cs="Arial" w:ascii="Arial" w:hAnsi="Arial"/>
        </w:rPr>
        <w:t>Customer Service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1"/>
          <w:numId w:val="14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Rob Hill, joined 12/00 as Director, Head of Customer Services, Oxford, experienced industry hire, call center background</w:t>
      </w:r>
    </w:p>
    <w:p>
      <w:pPr>
        <w:pStyle w:val="Normal"/>
        <w:numPr>
          <w:ilvl w:val="1"/>
          <w:numId w:val="14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Set up call center in past few months, front-office, back-office for research, working on metrics</w:t>
      </w:r>
    </w:p>
    <w:p>
      <w:pPr>
        <w:pStyle w:val="Normal"/>
        <w:numPr>
          <w:ilvl w:val="1"/>
          <w:numId w:val="14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 xml:space="preserve">Staffing </w:t>
      </w:r>
    </w:p>
    <w:p>
      <w:pPr>
        <w:pStyle w:val="Normal"/>
        <w:spacing w:before="0" w:after="120"/>
        <w:ind w:start="1080" w:end="0"/>
        <w:rPr>
          <w:rFonts w:ascii="Arial" w:hAnsi="Arial" w:cs="Arial"/>
        </w:rPr>
      </w:pPr>
      <w:r>
        <w:rPr>
          <w:rFonts w:cs="Arial" w:ascii="Arial" w:hAnsi="Arial"/>
        </w:rPr>
        <w:t xml:space="preserve">Oxford average age 20-21, turnover stabilized, staffing recruitment in Oxford difficult </w:t>
      </w:r>
    </w:p>
    <w:p>
      <w:pPr>
        <w:pStyle w:val="Normal"/>
        <w:spacing w:before="0" w:after="120"/>
        <w:ind w:start="1080" w:end="0"/>
        <w:rPr>
          <w:rFonts w:ascii="Arial" w:hAnsi="Arial" w:cs="Arial"/>
        </w:rPr>
      </w:pPr>
      <w:r>
        <w:rPr>
          <w:rFonts w:cs="Arial" w:ascii="Arial" w:hAnsi="Arial"/>
        </w:rPr>
        <w:t>Front-office and back-office (research) customer services areas designated</w:t>
      </w:r>
    </w:p>
    <w:p>
      <w:pPr>
        <w:pStyle w:val="Normal"/>
        <w:spacing w:before="0" w:after="120"/>
        <w:ind w:start="1080" w:end="0"/>
        <w:rPr>
          <w:rFonts w:ascii="Arial" w:hAnsi="Arial" w:cs="Arial"/>
        </w:rPr>
      </w:pPr>
      <w:r>
        <w:rPr>
          <w:rFonts w:cs="Arial" w:ascii="Arial" w:hAnsi="Arial"/>
        </w:rPr>
        <w:t>Training programs set up (e.g. collections on A/C)</w:t>
      </w:r>
    </w:p>
    <w:p>
      <w:pPr>
        <w:pStyle w:val="Normal"/>
        <w:numPr>
          <w:ilvl w:val="1"/>
          <w:numId w:val="14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6,000-7,000 calls per week at call centers</w:t>
      </w:r>
    </w:p>
    <w:p>
      <w:pPr>
        <w:pStyle w:val="Normal"/>
        <w:numPr>
          <w:ilvl w:val="1"/>
          <w:numId w:val="14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London Customer Service, temporary unit, set up for back-office support to expedite clearing of outstanding queries.</w:t>
      </w:r>
    </w:p>
    <w:p>
      <w:pPr>
        <w:pStyle w:val="Normal"/>
        <w:numPr>
          <w:ilvl w:val="1"/>
          <w:numId w:val="14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Setting up Customer Service call center at ETOL (Teeside)</w:t>
      </w:r>
    </w:p>
    <w:p>
      <w:pPr>
        <w:pStyle w:val="Normal"/>
        <w:spacing w:before="0" w:after="120"/>
        <w:ind w:start="1080" w:end="0"/>
        <w:rPr>
          <w:rFonts w:ascii="Arial" w:hAnsi="Arial" w:cs="Arial"/>
        </w:rPr>
      </w:pPr>
      <w:r>
        <w:rPr>
          <w:rFonts w:cs="Arial" w:ascii="Arial" w:hAnsi="Arial"/>
        </w:rPr>
        <w:t>Staffing will be a broader aged profile and more experienced/stable</w:t>
      </w:r>
    </w:p>
    <w:p>
      <w:pPr>
        <w:pStyle w:val="Normal"/>
        <w:numPr>
          <w:ilvl w:val="0"/>
          <w:numId w:val="10"/>
        </w:numPr>
        <w:rPr>
          <w:rFonts w:ascii="Arial" w:hAnsi="Arial" w:cs="Arial"/>
        </w:rPr>
      </w:pPr>
      <w:r>
        <w:rPr>
          <w:rFonts w:cs="Arial" w:ascii="Arial" w:hAnsi="Arial"/>
        </w:rPr>
        <w:t>IT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1"/>
          <w:numId w:val="14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Substantial upgrades to hardware: servers; phones; backup servers (full end of day and intra-day, 5 minute delay); and desktops/monitors</w:t>
      </w:r>
    </w:p>
    <w:p>
      <w:pPr>
        <w:pStyle w:val="Normal"/>
        <w:numPr>
          <w:ilvl w:val="1"/>
          <w:numId w:val="14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Staffing increases for application development and day to day support</w:t>
      </w:r>
    </w:p>
    <w:p>
      <w:pPr>
        <w:pStyle w:val="Footer"/>
        <w:tabs>
          <w:tab w:val="clear" w:pos="4320"/>
          <w:tab w:val="clear" w:pos="8640"/>
        </w:tabs>
        <w:spacing w:before="0" w:after="12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Other</w:t>
      </w:r>
    </w:p>
    <w:p>
      <w:pPr>
        <w:pStyle w:val="Normal"/>
        <w:numPr>
          <w:ilvl w:val="0"/>
          <w:numId w:val="10"/>
        </w:numPr>
        <w:rPr>
          <w:rFonts w:ascii="Arial" w:hAnsi="Arial" w:cs="Arial"/>
        </w:rPr>
      </w:pPr>
      <w:r>
        <w:rPr>
          <w:rFonts w:cs="Arial" w:ascii="Arial" w:hAnsi="Arial"/>
        </w:rPr>
        <w:t>NETA Regulatory Impact</w:t>
      </w:r>
    </w:p>
    <w:p>
      <w:pPr>
        <w:pStyle w:val="Normal"/>
        <w:numPr>
          <w:ilvl w:val="1"/>
          <w:numId w:val="14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Balancing requirements will have to be met or penalties are assessed</w:t>
      </w:r>
    </w:p>
    <w:p>
      <w:pPr>
        <w:pStyle w:val="Normal"/>
        <w:numPr>
          <w:ilvl w:val="1"/>
          <w:numId w:val="14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 xml:space="preserve">Forecasting penalties (Cap Gemini; hired to improve forecasting tool, in progress).  </w:t>
      </w:r>
    </w:p>
    <w:p>
      <w:pPr>
        <w:pStyle w:val="Normal"/>
        <w:numPr>
          <w:ilvl w:val="1"/>
          <w:numId w:val="14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Renewable energy: 10% requirement in 2004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Outsourcing covered minimally – currently one EES commodity deal in books (other deals in Nordic wholesale books)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ETOL included in EEL wholesale business (not covered in this operational risk review)</w:t>
      </w:r>
      <w:r>
        <w:br w:type="page"/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ubtitle"/>
        <w:rPr>
          <w:rFonts w:ascii="Arial" w:hAnsi="Arial" w:cs="Arial"/>
        </w:rPr>
      </w:pPr>
      <w:r>
        <w:rPr>
          <w:rFonts w:cs="Arial"/>
        </w:rPr>
      </w:r>
    </w:p>
    <w:p>
      <w:pPr>
        <w:pStyle w:val="Subtitle"/>
        <w:rPr/>
      </w:pPr>
      <w:r>
        <w:rPr/>
        <w:t>Addendum Notes – continued</w:t>
      </w:r>
    </w:p>
    <w:p>
      <w:pPr>
        <w:pStyle w:val="Subtitle"/>
        <w:rPr/>
      </w:pPr>
      <w:r>
        <w:rPr/>
      </w:r>
    </w:p>
    <w:p>
      <w:pPr>
        <w:pStyle w:val="Subtitle"/>
        <w:rPr/>
      </w:pPr>
      <w:r>
        <w:rPr/>
        <w:t>Operational Risks Identified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Credit (Oxford)</w:t>
      </w:r>
    </w:p>
    <w:p>
      <w:pPr>
        <w:pStyle w:val="Normal"/>
        <w:numPr>
          <w:ilvl w:val="0"/>
          <w:numId w:val="9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No formalized policy/procedures; need to reevaluate credit criteria</w:t>
      </w:r>
    </w:p>
    <w:p>
      <w:pPr>
        <w:pStyle w:val="Normal"/>
        <w:numPr>
          <w:ilvl w:val="0"/>
          <w:numId w:val="7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Generally understood profiles 5-9 are credit checked; profiles for 3-4 are checked in 3 targeted industry groups (pubs, hotels, and restaurants)</w:t>
      </w:r>
    </w:p>
    <w:p>
      <w:pPr>
        <w:pStyle w:val="Normal"/>
        <w:numPr>
          <w:ilvl w:val="0"/>
          <w:numId w:val="7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Testing results:</w:t>
        <w:br/>
        <w:t>15 items were selected</w:t>
        <w:br/>
        <w:t xml:space="preserve"> 3 accounts no credit check evidenced from targeted groups by Enron Direct</w:t>
        <w:br/>
        <w:t xml:space="preserve"> Only 1 of 10 showed response received from credit agency, Experian</w:t>
      </w:r>
    </w:p>
    <w:p>
      <w:pPr>
        <w:pStyle w:val="Normal"/>
        <w:numPr>
          <w:ilvl w:val="0"/>
          <w:numId w:val="7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Criterion for credit rejection is a court judgment against the customer noted from Experian.  ED may want to tighten this criterion.</w:t>
      </w:r>
    </w:p>
    <w:p>
      <w:pPr>
        <w:pStyle w:val="Normal"/>
        <w:numPr>
          <w:ilvl w:val="0"/>
          <w:numId w:val="9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Accounts Receivable Aging</w:t>
      </w:r>
    </w:p>
    <w:p>
      <w:pPr>
        <w:pStyle w:val="Normal"/>
        <w:numPr>
          <w:ilvl w:val="0"/>
          <w:numId w:val="1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Outstanding balance significant @ 10/3/01</w:t>
      </w:r>
    </w:p>
    <w:p>
      <w:pPr>
        <w:pStyle w:val="Normal"/>
        <w:numPr>
          <w:ilvl w:val="1"/>
          <w:numId w:val="1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₤</w:t>
      </w:r>
      <w:r>
        <w:rPr>
          <w:rFonts w:cs="Arial" w:ascii="Arial" w:hAnsi="Arial"/>
        </w:rPr>
        <w:t>7.8MM &gt;= 90 days (~25% of total)</w:t>
      </w:r>
    </w:p>
    <w:p>
      <w:pPr>
        <w:pStyle w:val="Normal"/>
        <w:numPr>
          <w:ilvl w:val="1"/>
          <w:numId w:val="1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₤</w:t>
      </w:r>
      <w:r>
        <w:rPr>
          <w:rFonts w:cs="Arial" w:ascii="Arial" w:hAnsi="Arial"/>
        </w:rPr>
        <w:t>15.7MM &gt;=15 days (~55% of total)</w:t>
      </w:r>
    </w:p>
    <w:p>
      <w:pPr>
        <w:pStyle w:val="Normal"/>
        <w:numPr>
          <w:ilvl w:val="0"/>
          <w:numId w:val="1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APQ, Accounts Payment Query (invoice raised, but no follow up for collection) represent approximately $5MM outstanding A/R @ 13/3/01</w:t>
      </w:r>
    </w:p>
    <w:p>
      <w:pPr>
        <w:pStyle w:val="Normal"/>
        <w:numPr>
          <w:ilvl w:val="1"/>
          <w:numId w:val="1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Disputed meter reads</w:t>
      </w:r>
    </w:p>
    <w:p>
      <w:pPr>
        <w:pStyle w:val="Normal"/>
        <w:numPr>
          <w:ilvl w:val="1"/>
          <w:numId w:val="1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No forwarding address</w:t>
      </w:r>
    </w:p>
    <w:p>
      <w:pPr>
        <w:pStyle w:val="Normal"/>
        <w:numPr>
          <w:ilvl w:val="1"/>
          <w:numId w:val="1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Change of name/addresses</w:t>
      </w:r>
    </w:p>
    <w:p>
      <w:pPr>
        <w:pStyle w:val="Normal"/>
        <w:numPr>
          <w:ilvl w:val="0"/>
          <w:numId w:val="1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Power pool has long reconciliation cycles - 14 months, where actualization of volumes may occur.</w:t>
      </w:r>
    </w:p>
    <w:p>
      <w:pPr>
        <w:pStyle w:val="Normal"/>
        <w:numPr>
          <w:ilvl w:val="0"/>
          <w:numId w:val="1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Collector companies utilized for collection, they receive 5% - 20% of the invoice for services performed</w:t>
      </w:r>
    </w:p>
    <w:p>
      <w:pPr>
        <w:pStyle w:val="Normal"/>
        <w:numPr>
          <w:ilvl w:val="0"/>
          <w:numId w:val="9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Customer Queries Back-log</w:t>
      </w:r>
    </w:p>
    <w:p>
      <w:pPr>
        <w:pStyle w:val="Normal"/>
        <w:numPr>
          <w:ilvl w:val="0"/>
          <w:numId w:val="1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8,651 outstanding @ 5/3/01 (~55% APQ status, affecting payment)</w:t>
      </w:r>
    </w:p>
    <w:p>
      <w:pPr>
        <w:pStyle w:val="Normal"/>
        <w:numPr>
          <w:ilvl w:val="0"/>
          <w:numId w:val="1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Need IT reports, analysis for targeted dollar resolutions to clear A/R issues or identify better customer credit approval standards</w:t>
      </w:r>
    </w:p>
    <w:p>
      <w:pPr>
        <w:pStyle w:val="Normal"/>
        <w:numPr>
          <w:ilvl w:val="0"/>
          <w:numId w:val="1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 xml:space="preserve">Incentives for direct debit are given.  Percentages given as 50% direct debit.  30% lock box and 20% cash/checks. </w:t>
      </w:r>
    </w:p>
    <w:p>
      <w:pPr>
        <w:pStyle w:val="Normal"/>
        <w:numPr>
          <w:ilvl w:val="0"/>
          <w:numId w:val="1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 xml:space="preserve">No interest rate on late payments collected. Standard contract reviewed stated 4% above the base lending rate of Midland Bank due on overdue balances.  Payment due 10 days after invoice date.  </w:t>
      </w:r>
    </w:p>
    <w:p>
      <w:pPr>
        <w:pStyle w:val="Heading2"/>
        <w:ind w:hanging="0" w:start="0"/>
        <w:rPr/>
      </w:pPr>
      <w:r>
        <w:rPr/>
        <w:t>Information Technology</w:t>
        <w:br/>
      </w:r>
    </w:p>
    <w:p>
      <w:pPr>
        <w:pStyle w:val="Normal"/>
        <w:numPr>
          <w:ilvl w:val="0"/>
          <w:numId w:val="6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Many new persons hired in response to growth – development and retention of experienced application developers critical</w:t>
      </w:r>
    </w:p>
    <w:p>
      <w:pPr>
        <w:pStyle w:val="Normal"/>
        <w:numPr>
          <w:ilvl w:val="0"/>
          <w:numId w:val="6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IT Strategy</w:t>
      </w:r>
    </w:p>
    <w:p>
      <w:pPr>
        <w:pStyle w:val="Normal"/>
        <w:numPr>
          <w:ilvl w:val="0"/>
          <w:numId w:val="12"/>
        </w:numPr>
        <w:spacing w:before="0" w:after="12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Application scalability/support</w:t>
      </w:r>
      <w:r>
        <w:br w:type="page"/>
      </w:r>
    </w:p>
    <w:p>
      <w:pPr>
        <w:pStyle w:val="Footer"/>
        <w:tabs>
          <w:tab w:val="clear" w:pos="4320"/>
          <w:tab w:val="clear" w:pos="8640"/>
        </w:tabs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ubtitle"/>
        <w:rPr/>
      </w:pPr>
      <w:r>
        <w:rPr/>
        <w:t>Addendum Notes – continued</w:t>
      </w:r>
    </w:p>
    <w:p>
      <w:pPr>
        <w:pStyle w:val="Subtitle"/>
        <w:rPr/>
      </w:pPr>
      <w:r>
        <w:rPr/>
      </w:r>
    </w:p>
    <w:p>
      <w:pPr>
        <w:pStyle w:val="Subtitle"/>
        <w:rPr/>
      </w:pPr>
      <w:r>
        <w:rPr/>
        <w:t>Operational Risks Identified (continued)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Copy of Enron Direct application taken for Enron Directo;</w:t>
        <w:br/>
        <w:t>Two separate development teams maintained</w:t>
        <w:br/>
        <w:t>Strategy with additional ED offices (e.g.Netherlands expansion)</w:t>
      </w:r>
    </w:p>
    <w:p>
      <w:pPr>
        <w:pStyle w:val="Normal"/>
        <w:numPr>
          <w:ilvl w:val="0"/>
          <w:numId w:val="1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Centralized vs. decentralized future approach (Pan Energy system is base of current application). Base application with some customized modules for Language, specific regulatory environments.</w:t>
      </w:r>
    </w:p>
    <w:p>
      <w:pPr>
        <w:pStyle w:val="Normal"/>
        <w:numPr>
          <w:ilvl w:val="0"/>
          <w:numId w:val="6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IT server room:  verify smaller restricted access; room temperature too high (~22.8 degrees Celsius)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Sales/Risk Management/Finance</w:t>
        <w:br/>
      </w:r>
    </w:p>
    <w:p>
      <w:pPr>
        <w:pStyle w:val="Normal"/>
        <w:numPr>
          <w:ilvl w:val="0"/>
          <w:numId w:val="8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PMAs, prior month adjustments, to P&amp;L significant</w:t>
      </w:r>
    </w:p>
    <w:p>
      <w:pPr>
        <w:pStyle w:val="Normal"/>
        <w:numPr>
          <w:ilvl w:val="0"/>
          <w:numId w:val="5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For 8 months, April 2000 – November 2000 (~ 33% of realized P/L)</w:t>
      </w:r>
    </w:p>
    <w:p>
      <w:pPr>
        <w:pStyle w:val="Normal"/>
        <w:numPr>
          <w:ilvl w:val="0"/>
          <w:numId w:val="5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Need to review reasons: actualization of volumes; costs overestimated, reserves over estimated</w:t>
      </w:r>
    </w:p>
    <w:p>
      <w:pPr>
        <w:pStyle w:val="Normal"/>
        <w:numPr>
          <w:ilvl w:val="0"/>
          <w:numId w:val="8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DPR Risk Management process lengthy (twice @ month)</w:t>
      </w:r>
    </w:p>
    <w:p>
      <w:pPr>
        <w:pStyle w:val="Normal"/>
        <w:numPr>
          <w:ilvl w:val="0"/>
          <w:numId w:val="5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18 hours for Oxford file computation, volume of data</w:t>
      </w:r>
    </w:p>
    <w:p>
      <w:pPr>
        <w:pStyle w:val="Normal"/>
        <w:numPr>
          <w:ilvl w:val="0"/>
          <w:numId w:val="5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18 hours for London Risk Management to process</w:t>
      </w:r>
    </w:p>
    <w:p>
      <w:pPr>
        <w:pStyle w:val="Normal"/>
        <w:numPr>
          <w:ilvl w:val="0"/>
          <w:numId w:val="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Finance, cash control area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080" w:leader="none"/>
        </w:tabs>
        <w:spacing w:before="0" w:after="120"/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Passwords shared between temps and permanent employees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Madrid</w:t>
      </w:r>
    </w:p>
    <w:p>
      <w:pPr>
        <w:pStyle w:val="Normal"/>
        <w:numPr>
          <w:ilvl w:val="0"/>
          <w:numId w:val="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Operational efficiencies will increase as immature market develops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080" w:leader="none"/>
        </w:tabs>
        <w:spacing w:before="0" w:after="120"/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Meter installation timeframe shrinkage will continue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080" w:leader="none"/>
        </w:tabs>
        <w:spacing w:before="0" w:after="120"/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Access to meter actuals from incumbents and systematic information uploads of data to Enron’s databases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080" w:leader="none"/>
        </w:tabs>
        <w:spacing w:before="0" w:after="120"/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Applying for own Energy Supplier Registration</w:t>
      </w:r>
      <w:r>
        <w:br w:type="page"/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4"/>
        <w:ind w:hanging="0" w:start="0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SUMMARY OF TESTING RESULTS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The results below relate to a sample of 15 customers that were connected in November 2000.</w:t>
        <w:br/>
        <w:br/>
        <w:t>Per contract reviewed: Payments are due 10 days after the invoice date (per the terms and conditions of the standard contract) and subject to interest on late payments. (4% over Midland Bank rate). November power billed November 30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and due December 10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>.   Other contract terms may not be payable for up to 30 days.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1"/>
        </w:numPr>
        <w:rPr>
          <w:rFonts w:ascii="Arial" w:hAnsi="Arial" w:cs="Arial"/>
        </w:rPr>
      </w:pPr>
      <w:r>
        <w:rPr>
          <w:rFonts w:cs="Arial" w:ascii="Arial" w:hAnsi="Arial"/>
        </w:rPr>
        <w:t>% of customers that had the following contract term per sample:</w:t>
      </w:r>
    </w:p>
    <w:p>
      <w:pPr>
        <w:pStyle w:val="Normal"/>
        <w:ind w:firstLine="720" w:start="4320" w:end="0"/>
        <w:rPr>
          <w:rFonts w:ascii="Arial" w:hAnsi="Arial" w:cs="Arial"/>
        </w:rPr>
      </w:pPr>
      <w:r>
        <w:rPr>
          <w:rFonts w:cs="Arial" w:ascii="Arial" w:hAnsi="Arial"/>
        </w:rPr>
        <w:t>Direct Debit</w:t>
        <w:tab/>
        <w:tab/>
        <w:tab/>
        <w:tab/>
        <w:tab/>
        <w:t>47%</w:t>
      </w:r>
    </w:p>
    <w:p>
      <w:pPr>
        <w:pStyle w:val="Normal"/>
        <w:ind w:firstLine="720" w:start="4320" w:end="0"/>
        <w:rPr>
          <w:rFonts w:ascii="Arial" w:hAnsi="Arial" w:cs="Arial"/>
        </w:rPr>
      </w:pPr>
      <w:r>
        <w:rPr>
          <w:rFonts w:cs="Arial" w:ascii="Arial" w:hAnsi="Arial"/>
        </w:rPr>
        <w:t>Cash/credit card/check etc.</w:t>
        <w:tab/>
        <w:tab/>
        <w:t>40%</w:t>
      </w:r>
    </w:p>
    <w:p>
      <w:pPr>
        <w:pStyle w:val="Normal"/>
        <w:ind w:firstLine="720" w:start="4320" w:end="0"/>
        <w:rPr>
          <w:rFonts w:ascii="Arial" w:hAnsi="Arial" w:cs="Arial"/>
        </w:rPr>
      </w:pPr>
      <w:r>
        <w:rPr>
          <w:rFonts w:cs="Arial" w:ascii="Arial" w:hAnsi="Arial"/>
        </w:rPr>
        <w:t>No contract available</w:t>
        <w:tab/>
        <w:tab/>
        <w:tab/>
        <w:t>13%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2.    % of customers that should have had credit checks that did per company criterion</w:t>
        <w:tab/>
        <w:t>77%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% of customers that had credit checks performed and a filed response was received for the credit check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10%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4. Average length of time taken from contract signed to commencement of supply</w:t>
        <w:tab/>
        <w:t xml:space="preserve">     76 days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5. % of customers invoiced</w:t>
        <w:tab/>
        <w:tab/>
        <w:tab/>
        <w:tab/>
        <w:tab/>
        <w:tab/>
        <w:tab/>
        <w:tab/>
        <w:tab/>
        <w:tab/>
        <w:t>76%</w:t>
      </w:r>
    </w:p>
    <w:p>
      <w:pPr>
        <w:pStyle w:val="Normal"/>
        <w:ind w:firstLine="360" w:end="0"/>
        <w:rPr>
          <w:rFonts w:ascii="Arial" w:hAnsi="Arial" w:cs="Arial"/>
        </w:rPr>
      </w:pPr>
      <w:r>
        <w:rPr>
          <w:rFonts w:cs="Arial" w:ascii="Arial" w:hAnsi="Arial"/>
        </w:rPr>
        <w:t>No invoice on system</w:t>
        <w:tab/>
        <w:tab/>
        <w:tab/>
        <w:tab/>
        <w:tab/>
        <w:tab/>
        <w:tab/>
        <w:tab/>
        <w:tab/>
        <w:tab/>
        <w:t>24%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6. % of customers invoiced that paid (7 / DD, 5 / lock box and/or cash/check)</w:t>
        <w:tab/>
        <w:tab/>
        <w:t>80%</w:t>
      </w:r>
    </w:p>
    <w:p>
      <w:pPr>
        <w:pStyle w:val="Normal"/>
        <w:ind w:firstLine="360" w:end="0"/>
        <w:rPr>
          <w:rFonts w:ascii="Arial" w:hAnsi="Arial" w:cs="Arial"/>
        </w:rPr>
      </w:pPr>
      <w:r>
        <w:rPr>
          <w:rFonts w:cs="Arial" w:ascii="Arial" w:hAnsi="Arial"/>
        </w:rPr>
        <w:t>% of customers invoiced that had still not paid by 13 March 2001</w:t>
        <w:tab/>
        <w:tab/>
        <w:tab/>
        <w:t>20%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7. Average length of days taken to pay invoice</w:t>
        <w:tab/>
        <w:tab/>
        <w:tab/>
        <w:tab/>
        <w:tab/>
        <w:tab/>
        <w:t xml:space="preserve">     68 days</w:t>
      </w:r>
    </w:p>
    <w:p>
      <w:pPr>
        <w:pStyle w:val="Normal"/>
        <w:ind w:firstLine="360" w:end="0"/>
        <w:rPr>
          <w:rFonts w:ascii="Arial" w:hAnsi="Arial" w:cs="Arial"/>
        </w:rPr>
      </w:pPr>
      <w:r>
        <w:rPr>
          <w:rFonts w:cs="Arial" w:ascii="Arial" w:hAnsi="Arial"/>
        </w:rPr>
        <w:t>(Includes invoices still uncollected as of March 01, 2001)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12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Review of Process from Agent to power for Enron Direct</w:t>
      </w:r>
    </w:p>
    <w:p>
      <w:pPr>
        <w:pStyle w:val="Normal"/>
        <w:spacing w:before="0" w:after="12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10 originating with agent</w:t>
      </w:r>
    </w:p>
    <w:p>
      <w:pPr>
        <w:pStyle w:val="Normal"/>
        <w:numPr>
          <w:ilvl w:val="0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Review customer agreement from agent. Note: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Date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Price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Terms of deal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Reference number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Name of customer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MTS code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Profile class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LLF class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Distributor ID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MPID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Check digit</w:t>
      </w:r>
    </w:p>
    <w:p>
      <w:pPr>
        <w:pStyle w:val="Normal"/>
        <w:numPr>
          <w:ilvl w:val="0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Obtain pricing matrix and check price on agent form to this matrix</w:t>
      </w:r>
    </w:p>
    <w:p>
      <w:pPr>
        <w:pStyle w:val="Normal"/>
        <w:numPr>
          <w:ilvl w:val="0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Review contract. Note: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Date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Signature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Terms of contract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Price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Name of customer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Method of payment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Check penalty terms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Review credit check report. Note that results are inputted onto customer database</w:t>
      </w:r>
    </w:p>
    <w:p>
      <w:pPr>
        <w:pStyle w:val="Normal"/>
        <w:numPr>
          <w:ilvl w:val="0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Check authorisation of customer as per result of credit check</w:t>
      </w:r>
    </w:p>
    <w:p>
      <w:pPr>
        <w:pStyle w:val="Normal"/>
        <w:numPr>
          <w:ilvl w:val="0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Review customer database. Note: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Date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Reference number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Terms of contract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Price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Name of customer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MTS code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Profile class</w:t>
      </w:r>
      <w:r>
        <w:br w:type="page"/>
      </w:r>
    </w:p>
    <w:p>
      <w:pPr>
        <w:pStyle w:val="Normal"/>
        <w:spacing w:before="0" w:after="12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Review of Process from Agent to power for Enron Direct -  continued</w:t>
      </w:r>
    </w:p>
    <w:p>
      <w:pPr>
        <w:pStyle w:val="Normal"/>
        <w:spacing w:before="0" w:after="120"/>
        <w:ind w:start="108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LLF class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Distributor ID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MPID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Check digit</w:t>
      </w:r>
    </w:p>
    <w:p>
      <w:pPr>
        <w:pStyle w:val="Normal"/>
        <w:numPr>
          <w:ilvl w:val="0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Tie back to contract and agency form</w:t>
      </w:r>
    </w:p>
    <w:p>
      <w:pPr>
        <w:pStyle w:val="Normal"/>
        <w:numPr>
          <w:ilvl w:val="0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Review copy of customer invoice. Note: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Meter reading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Date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Reference number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Price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Name of customer</w:t>
      </w:r>
    </w:p>
    <w:p>
      <w:pPr>
        <w:pStyle w:val="Normal"/>
        <w:numPr>
          <w:ilvl w:val="0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Tie back to contract, customer database and agency form</w:t>
      </w:r>
    </w:p>
    <w:p>
      <w:pPr>
        <w:pStyle w:val="Normal"/>
        <w:numPr>
          <w:ilvl w:val="0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Review customer file for complaints. If complaint on file, check to see if entered on customer database</w:t>
      </w:r>
    </w:p>
    <w:p>
      <w:pPr>
        <w:pStyle w:val="Normal"/>
        <w:numPr>
          <w:ilvl w:val="0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Note date of commencement of power supply</w:t>
      </w:r>
    </w:p>
    <w:p>
      <w:pPr>
        <w:pStyle w:val="Normal"/>
        <w:numPr>
          <w:ilvl w:val="0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Note settlement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Note whether paid on a timely basis</w:t>
      </w:r>
    </w:p>
    <w:p>
      <w:pPr>
        <w:pStyle w:val="Normal"/>
        <w:numPr>
          <w:ilvl w:val="1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Check amount received to invoice</w:t>
      </w:r>
    </w:p>
    <w:p>
      <w:pPr>
        <w:pStyle w:val="Normal"/>
        <w:numPr>
          <w:ilvl w:val="0"/>
          <w:numId w:val="13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Check accounts receivable to ledger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type w:val="nextPage"/>
          <w:pgSz w:w="11906" w:h="16838"/>
          <w:pgMar w:left="1080" w:right="403" w:gutter="0" w:header="0" w:top="720" w:footer="0" w:bottom="360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jc w:val="center"/>
        <w:rPr>
          <w:sz w:val="20"/>
          <w:lang w:val="en-CA"/>
        </w:rPr>
      </w:pPr>
      <w:r>
        <w:rPr>
          <w:sz w:val="20"/>
          <w:lang w:val="en-CA"/>
        </w:rPr>
        <w:object w:dxaOrig="11045" w:dyaOrig="787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0pt;width:690.5pt;height:492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90472089" r:id="rId2"/>
        </w:object>
      </w:r>
    </w:p>
    <w:sectPr>
      <w:type w:val="nextPage"/>
      <w:pgSz w:orient="landscape" w:w="15840" w:h="12240"/>
      <w:pgMar w:left="360" w:right="907" w:gutter="0" w:header="0" w:top="108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2880"/>
        </w:tabs>
        <w:ind w:star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040"/>
        </w:tabs>
        <w:ind w:star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</w:rPr>
    </w:lvl>
  </w:abstractNum>
  <w:abstractNum w:abstractNumId="4">
    <w:lvl w:ilvl="0">
      <w:start w:val="3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9">
    <w:lvl w:ilvl="0">
      <w:start w:val="1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10">
    <w:lvl w:ilvl="0">
      <w:start w:val="1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12">
    <w:lvl w:ilvl="0">
      <w:start w:val="1"/>
      <w:numFmt w:val="bullet"/>
      <w:lvlText w:val="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Roman"/>
      <w:lvlText w:val="%2."/>
      <w:lvlJc w:val="start"/>
      <w:pPr>
        <w:tabs>
          <w:tab w:val="num" w:pos="1800"/>
        </w:tabs>
        <w:ind w:start="1800" w:hanging="72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120"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2"/>
      <w:szCs w:val="20"/>
      <w:u w:val="single"/>
      <w:lang w:val="en-GB"/>
    </w:rPr>
  </w:style>
  <w:style w:type="character" w:styleId="WW8Num1z0">
    <w:name w:val="WW8Num1z0"/>
    <w:qFormat/>
    <w:rPr>
      <w:rFonts w:cs="Aria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cs="Aria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cs="Arial"/>
    </w:rPr>
  </w:style>
  <w:style w:type="character" w:styleId="WW8Num4z1">
    <w:name w:val="WW8Num4z1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>
      <w:rFonts w:cs="Arial"/>
    </w:rPr>
  </w:style>
  <w:style w:type="character" w:styleId="WW8Num5z1">
    <w:name w:val="WW8Num5z1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cs="Arial"/>
    </w:rPr>
  </w:style>
  <w:style w:type="character" w:styleId="WW8Num8z1">
    <w:name w:val="WW8Num8z1"/>
    <w:qFormat/>
    <w:rPr>
      <w:rFonts w:ascii="Wingdings" w:hAnsi="Wingdings" w:cs="Wingdings"/>
    </w:rPr>
  </w:style>
  <w:style w:type="character" w:styleId="WW8Num8z2">
    <w:name w:val="WW8Num8z2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11z0">
    <w:name w:val="WW8Num11z0"/>
    <w:qFormat/>
    <w:rPr>
      <w:rFonts w:cs="Aria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cs="Arial"/>
    </w:rPr>
  </w:style>
  <w:style w:type="character" w:styleId="WW8Num12z1">
    <w:name w:val="WW8Num12z1"/>
    <w:qFormat/>
    <w:rPr>
      <w:rFonts w:ascii="Wingdings" w:hAnsi="Wingdings" w:cs="Wingdings"/>
    </w:rPr>
  </w:style>
  <w:style w:type="character" w:styleId="WW8Num12z2">
    <w:name w:val="WW8Num12z2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cs="Arial"/>
    </w:rPr>
  </w:style>
  <w:style w:type="character" w:styleId="WW8Num14z1">
    <w:name w:val="WW8Num14z1"/>
    <w:qFormat/>
    <w:rPr>
      <w:rFonts w:ascii="Wingdings" w:hAnsi="Wingdings" w:cs="Wingdings"/>
    </w:rPr>
  </w:style>
  <w:style w:type="character" w:styleId="WW8Num14z2">
    <w:name w:val="WW8Num14z2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cs="Aria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cs="Aria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cs="Arial"/>
    </w:rPr>
  </w:style>
  <w:style w:type="character" w:styleId="WW8Num19z1">
    <w:name w:val="WW8Num19z1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5z0">
    <w:name w:val="WW8Num25z0"/>
    <w:qFormat/>
    <w:rPr>
      <w:rFonts w:cs="Arial"/>
    </w:rPr>
  </w:style>
  <w:style w:type="character" w:styleId="WW8Num25z1">
    <w:name w:val="WW8Num25z1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5z4">
    <w:name w:val="WW8Num25z4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Wingdings" w:hAnsi="Wingdings" w:cs="Wingdings"/>
    </w:rPr>
  </w:style>
  <w:style w:type="character" w:styleId="WW8Num26z4">
    <w:name w:val="WW8Num26z4"/>
    <w:qFormat/>
    <w:rPr>
      <w:rFonts w:ascii="Courier New" w:hAnsi="Courier New" w:cs="Courier New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3">
    <w:name w:val="WW8Num3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>
      <w:sz w:val="22"/>
      <w:szCs w:val="20"/>
      <w:lang w:val="en-GB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xl24">
    <w:name w:val="xl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 Unicode MS" w:hAnsi="Arial Unicode MS" w:eastAsia="Arial Unicode MS" w:cs="Courier New"/>
    </w:rPr>
  </w:style>
  <w:style w:type="paragraph" w:styleId="xl25">
    <w:name w:val="xl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 Unicode MS" w:hAnsi="Arial Unicode MS" w:eastAsia="Arial Unicode MS" w:cs="Courier New"/>
    </w:rPr>
  </w:style>
  <w:style w:type="paragraph" w:styleId="xl26">
    <w:name w:val="xl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b/>
      <w:bCs/>
    </w:rPr>
  </w:style>
  <w:style w:type="paragraph" w:styleId="xl27">
    <w:name w:val="xl27"/>
    <w:basedOn w:val="Normal"/>
    <w:qFormat/>
    <w:pPr>
      <w:spacing w:before="100" w:after="100"/>
    </w:pPr>
    <w:rPr>
      <w:rFonts w:ascii="Arial Unicode MS" w:hAnsi="Arial Unicode MS" w:eastAsia="Arial Unicode MS" w:cs="Courier New"/>
    </w:rPr>
  </w:style>
  <w:style w:type="paragraph" w:styleId="xl28">
    <w:name w:val="xl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 Unicode MS" w:hAnsi="Arial Unicode MS" w:eastAsia="Arial Unicode MS" w:cs="Courier New"/>
    </w:rPr>
  </w:style>
  <w:style w:type="paragraph" w:styleId="xl29">
    <w:name w:val="xl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 Unicode MS" w:hAnsi="Arial Unicode MS" w:eastAsia="Arial Unicode MS" w:cs="Courier New"/>
    </w:rPr>
  </w:style>
  <w:style w:type="paragraph" w:styleId="xl30">
    <w:name w:val="xl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2001-03-20T09:34:00Z</dcterms:created>
  <dc:creator>vvaldez</dc:creator>
  <dc:description/>
  <dc:language>en-CA</dc:language>
  <cp:lastModifiedBy>sglover</cp:lastModifiedBy>
  <cp:lastPrinted>2001-03-20T08:06:00Z</cp:lastPrinted>
  <dcterms:modified xsi:type="dcterms:W3CDTF">2001-03-23T10:28:00Z</dcterms:modified>
  <cp:revision>14</cp:revision>
  <dc:subject/>
  <dc:title>Addendum Notes</dc:title>
</cp:coreProperties>
</file>