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CASH COLLECTION – ACTION PLAN</w:t>
      </w:r>
    </w:p>
    <w:p>
      <w:pPr>
        <w:pStyle w:val="Heading"/>
        <w:rPr>
          <w:b w:val="false"/>
        </w:rPr>
      </w:pPr>
      <w:r>
        <w:rPr>
          <w:b w:val="false"/>
        </w:rPr>
        <w:t>23 March, 2001</w:t>
      </w:r>
    </w:p>
    <w:p>
      <w:pPr>
        <w:pStyle w:val="Normal"/>
        <w:rPr>
          <w:b/>
          <w:lang w:val="en-GB"/>
        </w:rPr>
      </w:pPr>
      <w:r>
        <w:rPr>
          <w:b/>
          <w:lang w:val="en-GB"/>
        </w:rPr>
      </w:r>
    </w:p>
    <w:p>
      <w:pPr>
        <w:pStyle w:val="Normal"/>
        <w:rPr>
          <w:lang w:val="en-GB"/>
        </w:rPr>
      </w:pPr>
      <w:r>
        <w:rPr>
          <w:lang w:val="en-GB"/>
        </w:rPr>
        <w:t>This report evaluates the current situation of accounts receivable in Enron Direct Ltd by:</w:t>
      </w:r>
    </w:p>
    <w:p>
      <w:pPr>
        <w:pStyle w:val="Normal"/>
        <w:rPr>
          <w:lang w:val="en-GB"/>
        </w:rPr>
      </w:pPr>
      <w:r>
        <w:rPr>
          <w:lang w:val="en-GB"/>
        </w:rPr>
      </w:r>
    </w:p>
    <w:p>
      <w:pPr>
        <w:pStyle w:val="Normal"/>
        <w:numPr>
          <w:ilvl w:val="0"/>
          <w:numId w:val="3"/>
        </w:numPr>
        <w:rPr>
          <w:lang w:val="en-GB"/>
        </w:rPr>
      </w:pPr>
      <w:r>
        <w:rPr>
          <w:lang w:val="en-GB"/>
        </w:rPr>
        <w:t xml:space="preserve">Understanding the facts, measuring them accordingly to the nature of the retail business (managed accounts, individual sites, tendering processes, etc), </w:t>
      </w:r>
    </w:p>
    <w:p>
      <w:pPr>
        <w:pStyle w:val="Normal"/>
        <w:numPr>
          <w:ilvl w:val="0"/>
          <w:numId w:val="3"/>
        </w:numPr>
        <w:rPr>
          <w:lang w:val="en-GB"/>
        </w:rPr>
      </w:pPr>
      <w:r>
        <w:rPr>
          <w:lang w:val="en-GB"/>
        </w:rPr>
        <w:t xml:space="preserve">Then establishing a list of quantitative objectives to achieve in the current fiscal year reporting improvements in a quarterly basis, </w:t>
      </w:r>
    </w:p>
    <w:p>
      <w:pPr>
        <w:pStyle w:val="Normal"/>
        <w:numPr>
          <w:ilvl w:val="0"/>
          <w:numId w:val="3"/>
        </w:numPr>
        <w:rPr>
          <w:lang w:val="en-GB"/>
        </w:rPr>
      </w:pPr>
      <w:r>
        <w:rPr>
          <w:lang w:val="en-GB"/>
        </w:rPr>
        <w:t>Ending with a detailed description of the different short/medium term actions to take and or already in place in order to achieve the objectives mentioned above.</w:t>
      </w:r>
    </w:p>
    <w:p>
      <w:pPr>
        <w:pStyle w:val="Normal"/>
        <w:rPr>
          <w:lang w:val="en-GB"/>
        </w:rPr>
      </w:pPr>
      <w:r>
        <w:rPr>
          <w:lang w:val="en-GB"/>
        </w:rPr>
      </w:r>
    </w:p>
    <w:p>
      <w:pPr>
        <w:pStyle w:val="Heading1"/>
        <w:ind w:hanging="0" w:start="0"/>
        <w:rPr/>
      </w:pPr>
      <w:r>
        <w:rPr/>
        <w:t>UNDERSTANDING THE FACTS</w:t>
      </w:r>
    </w:p>
    <w:p>
      <w:pPr>
        <w:pStyle w:val="Normal"/>
        <w:rPr>
          <w:lang w:val="en-GB"/>
        </w:rPr>
      </w:pPr>
      <w:r>
        <w:rPr>
          <w:lang w:val="en-GB"/>
        </w:rPr>
      </w:r>
    </w:p>
    <w:p>
      <w:pPr>
        <w:pStyle w:val="Normal"/>
        <w:rPr>
          <w:lang w:val="en-GB"/>
        </w:rPr>
      </w:pPr>
      <w:r>
        <w:rPr>
          <w:lang w:val="en-GB"/>
        </w:rPr>
        <w:t>In order to capture the different nature and characteristics of ED’s customers and therefore treat them accordingly, it is key to establish clearly the information sources for the following analysis.</w:t>
      </w:r>
    </w:p>
    <w:p>
      <w:pPr>
        <w:pStyle w:val="Normal"/>
        <w:rPr>
          <w:lang w:val="en-GB"/>
        </w:rPr>
      </w:pPr>
      <w:r>
        <w:rPr>
          <w:lang w:val="en-GB"/>
        </w:rPr>
      </w:r>
    </w:p>
    <w:p>
      <w:pPr>
        <w:pStyle w:val="Normal"/>
        <w:rPr>
          <w:lang w:val="en-GB"/>
        </w:rPr>
      </w:pPr>
      <w:r>
        <w:rPr>
          <w:lang w:val="en-GB"/>
        </w:rPr>
        <w:t>Enron Direct Ltd (ED) will generate 4 detailed reports in order to understand the different components and nature of ED’s customers portfolio so as its different commercial charecteristics.</w:t>
      </w:r>
    </w:p>
    <w:p>
      <w:pPr>
        <w:pStyle w:val="Normal"/>
        <w:rPr>
          <w:lang w:val="en-GB"/>
        </w:rPr>
      </w:pPr>
      <w:r>
        <w:rPr>
          <w:lang w:val="en-GB"/>
        </w:rPr>
      </w:r>
    </w:p>
    <w:p>
      <w:pPr>
        <w:pStyle w:val="Normal"/>
        <w:rPr/>
      </w:pPr>
      <w:r>
        <w:rPr>
          <w:i/>
          <w:u w:val="single"/>
          <w:lang w:val="en-GB"/>
        </w:rPr>
        <w:t>Report 1: Breakdown by type of status/type of customer and life of debt.</w:t>
      </w:r>
      <w:r>
        <w:rPr>
          <w:i/>
          <w:lang w:val="en-GB"/>
        </w:rPr>
        <w:tab/>
      </w:r>
    </w:p>
    <w:p>
      <w:pPr>
        <w:pStyle w:val="Normal"/>
        <w:rPr>
          <w:lang w:val="en-GB"/>
        </w:rPr>
      </w:pPr>
      <w:r>
        <w:rPr>
          <w:lang w:val="en-GB"/>
        </w:rPr>
        <w:t>(Weekly basis)</w:t>
      </w:r>
    </w:p>
    <w:p>
      <w:pPr>
        <w:pStyle w:val="Normal"/>
        <w:rPr>
          <w:u w:val="single"/>
          <w:lang w:val="en-GB"/>
        </w:rPr>
      </w:pPr>
      <w:r>
        <w:rPr>
          <w:u w:val="single"/>
          <w:lang w:val="en-GB"/>
        </w:rPr>
      </w:r>
    </w:p>
    <w:tbl>
      <w:tblPr>
        <w:tblW w:w="8857" w:type="dxa"/>
        <w:jc w:val="start"/>
        <w:tblInd w:w="0" w:type="dxa"/>
        <w:tblLayout w:type="fixed"/>
        <w:tblCellMar>
          <w:top w:w="0" w:type="dxa"/>
          <w:start w:w="108" w:type="dxa"/>
          <w:bottom w:w="0" w:type="dxa"/>
          <w:end w:w="108" w:type="dxa"/>
        </w:tblCellMar>
      </w:tblPr>
      <w:tblGrid>
        <w:gridCol w:w="2148"/>
        <w:gridCol w:w="1199"/>
        <w:gridCol w:w="993"/>
        <w:gridCol w:w="1137"/>
        <w:gridCol w:w="1137"/>
        <w:gridCol w:w="1234"/>
        <w:gridCol w:w="1009"/>
      </w:tblGrid>
      <w:tr>
        <w:trPr/>
        <w:tc>
          <w:tcPr>
            <w:tcW w:w="2148"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Accounts receivable</w:t>
            </w:r>
          </w:p>
        </w:tc>
        <w:tc>
          <w:tcPr>
            <w:tcW w:w="1199"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Current 15 days</w:t>
            </w:r>
          </w:p>
        </w:tc>
        <w:tc>
          <w:tcPr>
            <w:tcW w:w="993"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1 month</w:t>
            </w:r>
          </w:p>
        </w:tc>
        <w:tc>
          <w:tcPr>
            <w:tcW w:w="1137"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2 months</w:t>
            </w:r>
          </w:p>
        </w:tc>
        <w:tc>
          <w:tcPr>
            <w:tcW w:w="1137"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3 months</w:t>
            </w:r>
          </w:p>
        </w:tc>
        <w:tc>
          <w:tcPr>
            <w:tcW w:w="1234"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4 + months</w:t>
            </w:r>
          </w:p>
        </w:tc>
        <w:tc>
          <w:tcPr>
            <w:tcW w:w="1009"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2"/>
                <w:lang w:val="en-GB"/>
              </w:rPr>
            </w:pPr>
            <w:r>
              <w:rPr>
                <w:b/>
                <w:sz w:val="22"/>
                <w:lang w:val="en-GB"/>
              </w:rPr>
              <w:t>TOTAL</w:t>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Not yet due for payment – General Accounts</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Not yet due for payment – Managed Accounts</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Managed Accounts (Overdue)</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Final reminders (Overdue)</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Disconnection Notices (Overdue)</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APQ (Overdue)</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With Credit Control</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Normal"/>
              <w:rPr>
                <w:sz w:val="22"/>
                <w:lang w:val="en-GB"/>
              </w:rPr>
            </w:pPr>
            <w:r>
              <w:rPr>
                <w:sz w:val="22"/>
                <w:lang w:val="en-GB"/>
              </w:rPr>
              <w:t>With 3ed Party Trace/Debt Recovery (Overdue)</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r>
        <w:trPr/>
        <w:tc>
          <w:tcPr>
            <w:tcW w:w="2148"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sz w:val="22"/>
              </w:rPr>
            </w:pPr>
            <w:r>
              <w:rPr>
                <w:b w:val="false"/>
                <w:sz w:val="22"/>
              </w:rPr>
              <w:t>TOTAL</w:t>
            </w:r>
          </w:p>
        </w:tc>
        <w:tc>
          <w:tcPr>
            <w:tcW w:w="1199" w:type="dxa"/>
            <w:tcBorders>
              <w:top w:val="single" w:sz="6" w:space="0" w:color="000000"/>
              <w:start w:val="single" w:sz="6" w:space="0" w:color="000000"/>
              <w:bottom w:val="single" w:sz="6" w:space="0" w:color="000000"/>
              <w:end w:val="single" w:sz="6" w:space="0" w:color="000000"/>
            </w:tcBorders>
          </w:tcPr>
          <w:p>
            <w:pPr>
              <w:pStyle w:val="Normal"/>
              <w:snapToGrid w:val="false"/>
              <w:rPr>
                <w:b w:val="false"/>
                <w:sz w:val="22"/>
                <w:lang w:val="en-GB"/>
              </w:rPr>
            </w:pPr>
            <w:r>
              <w:rPr>
                <w:b w:val="false"/>
                <w:sz w:val="22"/>
                <w:lang w:val="en-GB"/>
              </w:rPr>
            </w:r>
          </w:p>
        </w:tc>
        <w:tc>
          <w:tcPr>
            <w:tcW w:w="993"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234"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c>
          <w:tcPr>
            <w:tcW w:w="1009" w:type="dxa"/>
            <w:tcBorders>
              <w:top w:val="single" w:sz="6" w:space="0" w:color="000000"/>
              <w:start w:val="single" w:sz="6" w:space="0" w:color="000000"/>
              <w:bottom w:val="single" w:sz="6" w:space="0" w:color="000000"/>
              <w:end w:val="single" w:sz="6" w:space="0" w:color="000000"/>
            </w:tcBorders>
          </w:tcPr>
          <w:p>
            <w:pPr>
              <w:pStyle w:val="Normal"/>
              <w:snapToGrid w:val="false"/>
              <w:rPr>
                <w:sz w:val="22"/>
                <w:lang w:val="en-GB"/>
              </w:rPr>
            </w:pPr>
            <w:r>
              <w:rPr>
                <w:sz w:val="22"/>
                <w:lang w:val="en-GB"/>
              </w:rPr>
            </w:r>
          </w:p>
        </w:tc>
      </w:tr>
    </w:tbl>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2"/>
        <w:ind w:hanging="0" w:start="0"/>
        <w:rPr/>
      </w:pPr>
      <w:r>
        <w:rPr/>
        <w:t>Report 2: Turnover breakdown by type of customers</w:t>
      </w:r>
    </w:p>
    <w:p>
      <w:pPr>
        <w:pStyle w:val="Normal"/>
        <w:rPr>
          <w:lang w:val="en-GB"/>
        </w:rPr>
      </w:pPr>
      <w:r>
        <w:rPr>
          <w:lang w:val="en-GB"/>
        </w:rPr>
        <w:t>(Monthly basis)</w:t>
      </w:r>
    </w:p>
    <w:p>
      <w:pPr>
        <w:pStyle w:val="Normal"/>
        <w:rPr>
          <w:lang w:val="en-GB"/>
        </w:rPr>
      </w:pPr>
      <w:r>
        <w:rPr>
          <w:lang w:val="en-GB"/>
        </w:rPr>
      </w:r>
    </w:p>
    <w:tbl>
      <w:tblPr>
        <w:tblW w:w="8857" w:type="dxa"/>
        <w:jc w:val="start"/>
        <w:tblInd w:w="0" w:type="dxa"/>
        <w:tblLayout w:type="fixed"/>
        <w:tblCellMar>
          <w:top w:w="0" w:type="dxa"/>
          <w:start w:w="108" w:type="dxa"/>
          <w:bottom w:w="0" w:type="dxa"/>
          <w:end w:w="108" w:type="dxa"/>
        </w:tblCellMar>
      </w:tblPr>
      <w:tblGrid>
        <w:gridCol w:w="2849"/>
        <w:gridCol w:w="1402"/>
        <w:gridCol w:w="1437"/>
        <w:gridCol w:w="1440"/>
        <w:gridCol w:w="1729"/>
      </w:tblGrid>
      <w:tr>
        <w:trPr/>
        <w:tc>
          <w:tcPr>
            <w:tcW w:w="2849"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w:t>
            </w:r>
          </w:p>
        </w:tc>
        <w:tc>
          <w:tcPr>
            <w:tcW w:w="1402"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Managed Accounts</w:t>
            </w:r>
          </w:p>
        </w:tc>
        <w:tc>
          <w:tcPr>
            <w:tcW w:w="1437"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Tendering Processes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Direct Sales</w:t>
            </w:r>
          </w:p>
        </w:tc>
        <w:tc>
          <w:tcPr>
            <w:tcW w:w="1729"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Agents/Consultants/Brokers</w:t>
            </w:r>
          </w:p>
        </w:tc>
      </w:tr>
      <w:tr>
        <w:trPr/>
        <w:tc>
          <w:tcPr>
            <w:tcW w:w="2849"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t>Turnover (last month)</w:t>
            </w:r>
          </w:p>
        </w:tc>
        <w:tc>
          <w:tcPr>
            <w:tcW w:w="1402"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437"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729"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r>
      <w:tr>
        <w:trPr/>
        <w:tc>
          <w:tcPr>
            <w:tcW w:w="2849"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t>Turnover (last 12 months)</w:t>
            </w:r>
          </w:p>
        </w:tc>
        <w:tc>
          <w:tcPr>
            <w:tcW w:w="1402"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437"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729"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r>
    </w:tbl>
    <w:p>
      <w:pPr>
        <w:pStyle w:val="Normal"/>
        <w:rPr>
          <w:lang w:val="en-GB"/>
        </w:rPr>
      </w:pPr>
      <w:r>
        <w:rPr>
          <w:lang w:val="en-GB"/>
        </w:rPr>
      </w:r>
    </w:p>
    <w:p>
      <w:pPr>
        <w:pStyle w:val="Heading2"/>
        <w:ind w:hanging="0" w:start="0"/>
        <w:rPr>
          <w:lang w:val="en-US"/>
        </w:rPr>
      </w:pPr>
      <w:r>
        <w:rPr>
          <w:lang w:val="en-US"/>
        </w:rPr>
        <w:t>Report 3: Turnover breakdown by payment terms</w:t>
      </w:r>
    </w:p>
    <w:p>
      <w:pPr>
        <w:pStyle w:val="Normal"/>
        <w:rPr>
          <w:lang w:val="en-GB"/>
        </w:rPr>
      </w:pPr>
      <w:r>
        <w:rPr>
          <w:lang w:val="en-GB"/>
        </w:rPr>
        <w:t>(Monthly basis)</w:t>
      </w:r>
    </w:p>
    <w:p>
      <w:pPr>
        <w:pStyle w:val="Normal"/>
        <w:rPr>
          <w:lang w:val="en-GB"/>
        </w:rPr>
      </w:pPr>
      <w:r>
        <w:rPr>
          <w:lang w:val="en-GB"/>
        </w:rPr>
      </w:r>
    </w:p>
    <w:tbl>
      <w:tblPr>
        <w:tblW w:w="8856" w:type="dxa"/>
        <w:jc w:val="start"/>
        <w:tblInd w:w="0" w:type="dxa"/>
        <w:tblLayout w:type="fixed"/>
        <w:tblCellMar>
          <w:top w:w="0" w:type="dxa"/>
          <w:start w:w="108" w:type="dxa"/>
          <w:bottom w:w="0" w:type="dxa"/>
          <w:end w:w="108" w:type="dxa"/>
        </w:tblCellMar>
      </w:tblPr>
      <w:tblGrid>
        <w:gridCol w:w="2495"/>
        <w:gridCol w:w="1763"/>
        <w:gridCol w:w="1037"/>
        <w:gridCol w:w="1131"/>
        <w:gridCol w:w="1131"/>
        <w:gridCol w:w="1299"/>
      </w:tblGrid>
      <w:tr>
        <w:trPr/>
        <w:tc>
          <w:tcPr>
            <w:tcW w:w="2495"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w:t>
            </w:r>
          </w:p>
        </w:tc>
        <w:tc>
          <w:tcPr>
            <w:tcW w:w="1763"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Current 15 days</w:t>
            </w:r>
          </w:p>
        </w:tc>
        <w:tc>
          <w:tcPr>
            <w:tcW w:w="1037"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1 month</w:t>
            </w:r>
          </w:p>
        </w:tc>
        <w:tc>
          <w:tcPr>
            <w:tcW w:w="1131"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2 months</w:t>
            </w:r>
          </w:p>
        </w:tc>
        <w:tc>
          <w:tcPr>
            <w:tcW w:w="1131"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3 months</w:t>
            </w:r>
          </w:p>
        </w:tc>
        <w:tc>
          <w:tcPr>
            <w:tcW w:w="1299"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4 + months</w:t>
            </w:r>
          </w:p>
        </w:tc>
      </w:tr>
      <w:tr>
        <w:trPr/>
        <w:tc>
          <w:tcPr>
            <w:tcW w:w="2495"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t>Turnover (last month)</w:t>
            </w:r>
          </w:p>
        </w:tc>
        <w:tc>
          <w:tcPr>
            <w:tcW w:w="176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037"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131"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131"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299"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r>
      <w:tr>
        <w:trPr/>
        <w:tc>
          <w:tcPr>
            <w:tcW w:w="2495"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t>Turnover (last 12 months)</w:t>
            </w:r>
          </w:p>
        </w:tc>
        <w:tc>
          <w:tcPr>
            <w:tcW w:w="176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037"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131"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131"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299"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r>
    </w:tbl>
    <w:p>
      <w:pPr>
        <w:pStyle w:val="Normal"/>
        <w:rPr>
          <w:lang w:val="en-GB"/>
        </w:rPr>
      </w:pPr>
      <w:r>
        <w:rPr>
          <w:lang w:val="en-GB"/>
        </w:rPr>
      </w:r>
    </w:p>
    <w:p>
      <w:pPr>
        <w:pStyle w:val="Normal"/>
        <w:rPr>
          <w:lang w:val="en-GB"/>
        </w:rPr>
      </w:pPr>
      <w:r>
        <w:rPr>
          <w:i/>
          <w:u w:val="single"/>
        </w:rPr>
        <w:t>Report 4: Turnover breakdown by method of payment</w:t>
      </w:r>
    </w:p>
    <w:p>
      <w:pPr>
        <w:pStyle w:val="Normal"/>
        <w:rPr>
          <w:lang w:val="en-GB"/>
        </w:rPr>
      </w:pPr>
      <w:r>
        <w:rPr>
          <w:lang w:val="en-GB"/>
        </w:rPr>
        <w:t>(Monthly basis)</w:t>
      </w:r>
    </w:p>
    <w:p>
      <w:pPr>
        <w:pStyle w:val="Normal"/>
        <w:rPr>
          <w:lang w:val="en-GB"/>
        </w:rPr>
      </w:pPr>
      <w:r>
        <w:rPr>
          <w:lang w:val="en-GB"/>
        </w:rPr>
      </w:r>
    </w:p>
    <w:tbl>
      <w:tblPr>
        <w:tblW w:w="5218" w:type="dxa"/>
        <w:jc w:val="start"/>
        <w:tblInd w:w="0" w:type="dxa"/>
        <w:tblLayout w:type="fixed"/>
        <w:tblCellMar>
          <w:top w:w="0" w:type="dxa"/>
          <w:start w:w="108" w:type="dxa"/>
          <w:bottom w:w="0" w:type="dxa"/>
          <w:end w:w="108" w:type="dxa"/>
        </w:tblCellMar>
      </w:tblPr>
      <w:tblGrid>
        <w:gridCol w:w="2729"/>
        <w:gridCol w:w="563"/>
        <w:gridCol w:w="1003"/>
        <w:gridCol w:w="923"/>
      </w:tblGrid>
      <w:tr>
        <w:trPr/>
        <w:tc>
          <w:tcPr>
            <w:tcW w:w="2729"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lang w:val="en-GB"/>
              </w:rPr>
            </w:pPr>
            <w:r>
              <w:rPr>
                <w:b/>
                <w:lang w:val="en-GB"/>
              </w:rPr>
              <w:t>%</w:t>
            </w:r>
          </w:p>
        </w:tc>
        <w:tc>
          <w:tcPr>
            <w:tcW w:w="563" w:type="dxa"/>
            <w:tcBorders>
              <w:top w:val="single" w:sz="6" w:space="0" w:color="000000"/>
              <w:start w:val="single" w:sz="6" w:space="0" w:color="000000"/>
              <w:bottom w:val="single" w:sz="6" w:space="0" w:color="000000"/>
              <w:end w:val="single" w:sz="6" w:space="0" w:color="000000"/>
            </w:tcBorders>
            <w:shd w:fill="000000" w:val="clear"/>
          </w:tcPr>
          <w:p>
            <w:pPr>
              <w:pStyle w:val="Normal"/>
              <w:rPr>
                <w:b/>
                <w:lang w:val="en-GB"/>
              </w:rPr>
            </w:pPr>
            <w:r>
              <w:rPr>
                <w:b/>
                <w:lang w:val="en-GB"/>
              </w:rPr>
              <w:t>DD</w:t>
            </w:r>
          </w:p>
        </w:tc>
        <w:tc>
          <w:tcPr>
            <w:tcW w:w="1003" w:type="dxa"/>
            <w:tcBorders>
              <w:top w:val="single" w:sz="6" w:space="0" w:color="000000"/>
              <w:start w:val="single" w:sz="6" w:space="0" w:color="000000"/>
              <w:bottom w:val="single" w:sz="6" w:space="0" w:color="000000"/>
              <w:end w:val="single" w:sz="6" w:space="0" w:color="000000"/>
            </w:tcBorders>
            <w:shd w:fill="000000" w:val="clear"/>
          </w:tcPr>
          <w:p>
            <w:pPr>
              <w:pStyle w:val="Normal"/>
              <w:rPr>
                <w:b/>
                <w:lang w:val="en-GB"/>
              </w:rPr>
            </w:pPr>
            <w:r>
              <w:rPr>
                <w:b/>
                <w:lang w:val="en-GB"/>
              </w:rPr>
              <w:t>Cheque</w:t>
            </w:r>
          </w:p>
        </w:tc>
        <w:tc>
          <w:tcPr>
            <w:tcW w:w="923" w:type="dxa"/>
            <w:tcBorders>
              <w:top w:val="single" w:sz="6" w:space="0" w:color="000000"/>
              <w:start w:val="single" w:sz="6" w:space="0" w:color="000000"/>
              <w:bottom w:val="single" w:sz="6" w:space="0" w:color="000000"/>
              <w:end w:val="single" w:sz="6" w:space="0" w:color="000000"/>
            </w:tcBorders>
            <w:shd w:fill="000000" w:val="clear"/>
          </w:tcPr>
          <w:p>
            <w:pPr>
              <w:pStyle w:val="Normal"/>
              <w:rPr>
                <w:b/>
                <w:lang w:val="en-GB"/>
              </w:rPr>
            </w:pPr>
            <w:r>
              <w:rPr>
                <w:b/>
                <w:lang w:val="en-GB"/>
              </w:rPr>
              <w:t>Others</w:t>
            </w:r>
          </w:p>
        </w:tc>
      </w:tr>
      <w:tr>
        <w:trPr/>
        <w:tc>
          <w:tcPr>
            <w:tcW w:w="2729"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t>Turnover (last month)</w:t>
            </w:r>
          </w:p>
        </w:tc>
        <w:tc>
          <w:tcPr>
            <w:tcW w:w="56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00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92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r>
      <w:tr>
        <w:trPr/>
        <w:tc>
          <w:tcPr>
            <w:tcW w:w="2729"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t>Turnover (last 12 months)</w:t>
            </w:r>
          </w:p>
        </w:tc>
        <w:tc>
          <w:tcPr>
            <w:tcW w:w="56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100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c>
          <w:tcPr>
            <w:tcW w:w="923" w:type="dxa"/>
            <w:tcBorders>
              <w:top w:val="single" w:sz="6" w:space="0" w:color="000000"/>
              <w:start w:val="single" w:sz="6" w:space="0" w:color="000000"/>
              <w:bottom w:val="single" w:sz="6" w:space="0" w:color="000000"/>
              <w:end w:val="single" w:sz="6" w:space="0" w:color="000000"/>
            </w:tcBorders>
          </w:tcPr>
          <w:p>
            <w:pPr>
              <w:pStyle w:val="Normal"/>
              <w:snapToGrid w:val="false"/>
              <w:rPr>
                <w:lang w:val="en-GB"/>
              </w:rPr>
            </w:pPr>
            <w:r>
              <w:rPr>
                <w:lang w:val="en-GB"/>
              </w:rPr>
            </w:r>
          </w:p>
        </w:tc>
      </w:tr>
    </w:tbl>
    <w:p>
      <w:pPr>
        <w:pStyle w:val="Normal"/>
        <w:rPr>
          <w:lang w:val="en-GB"/>
        </w:rPr>
      </w:pPr>
      <w:r>
        <w:rPr>
          <w:lang w:val="en-GB"/>
        </w:rPr>
      </w:r>
    </w:p>
    <w:p>
      <w:pPr>
        <w:pStyle w:val="Heading1"/>
        <w:ind w:hanging="0" w:start="0"/>
        <w:rPr>
          <w:lang w:val="en-GB"/>
        </w:rPr>
      </w:pPr>
      <w:r>
        <w:rPr>
          <w:lang w:val="en-GB"/>
        </w:rPr>
      </w:r>
    </w:p>
    <w:p>
      <w:pPr>
        <w:pStyle w:val="Heading1"/>
        <w:ind w:hanging="0" w:start="0"/>
        <w:rPr/>
      </w:pPr>
      <w:r>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OBJECTIVES TO ACHIEVE</w:t>
      </w:r>
    </w:p>
    <w:p>
      <w:pPr>
        <w:pStyle w:val="Normal"/>
        <w:rPr>
          <w:lang w:val="en-GB"/>
        </w:rPr>
      </w:pPr>
      <w:r>
        <w:rPr>
          <w:lang w:val="en-GB"/>
        </w:rPr>
      </w:r>
    </w:p>
    <w:p>
      <w:pPr>
        <w:pStyle w:val="Normal"/>
        <w:rPr>
          <w:lang w:val="en-GB"/>
        </w:rPr>
      </w:pPr>
      <w:r>
        <w:rPr>
          <w:lang w:val="en-GB"/>
        </w:rPr>
        <w:t>The overall objective of this action plan is to reduce the amount of accounts receivable and to stabilise it to a reasonable level relative to the size of the total business of ED.</w:t>
      </w:r>
    </w:p>
    <w:p>
      <w:pPr>
        <w:pStyle w:val="Normal"/>
        <w:rPr>
          <w:lang w:val="en-GB"/>
        </w:rPr>
      </w:pPr>
      <w:r>
        <w:rPr>
          <w:lang w:val="en-GB"/>
        </w:rPr>
      </w:r>
    </w:p>
    <w:p>
      <w:pPr>
        <w:pStyle w:val="Normal"/>
        <w:rPr>
          <w:lang w:val="en-GB"/>
        </w:rPr>
      </w:pPr>
      <w:r>
        <w:rPr>
          <w:lang w:val="en-GB"/>
        </w:rPr>
        <w:t>To achieve that, ED has defined 5 quantitative objectives to be reported quarterly. We have defined for each objective 3 different scenarios.</w:t>
      </w:r>
    </w:p>
    <w:p>
      <w:pPr>
        <w:pStyle w:val="Normal"/>
        <w:rPr>
          <w:lang w:val="en-GB"/>
        </w:rPr>
      </w:pPr>
      <w:r>
        <w:rPr>
          <w:lang w:val="en-GB"/>
        </w:rPr>
      </w:r>
    </w:p>
    <w:tbl>
      <w:tblPr>
        <w:tblW w:w="9108" w:type="dxa"/>
        <w:jc w:val="start"/>
        <w:tblInd w:w="0" w:type="dxa"/>
        <w:tblLayout w:type="fixed"/>
        <w:tblCellMar>
          <w:top w:w="0" w:type="dxa"/>
          <w:start w:w="108" w:type="dxa"/>
          <w:bottom w:w="0" w:type="dxa"/>
          <w:end w:w="108" w:type="dxa"/>
        </w:tblCellMar>
      </w:tblPr>
      <w:tblGrid>
        <w:gridCol w:w="2988"/>
        <w:gridCol w:w="1260"/>
        <w:gridCol w:w="1260"/>
        <w:gridCol w:w="720"/>
        <w:gridCol w:w="900"/>
        <w:gridCol w:w="1980"/>
      </w:tblGrid>
      <w:tr>
        <w:trPr/>
        <w:tc>
          <w:tcPr>
            <w:tcW w:w="2988"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OBJECTIVE</w:t>
            </w:r>
          </w:p>
        </w:tc>
        <w:tc>
          <w:tcPr>
            <w:tcW w:w="126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Scenario</w:t>
            </w:r>
          </w:p>
        </w:tc>
        <w:tc>
          <w:tcPr>
            <w:tcW w:w="126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Q1</w:t>
            </w:r>
          </w:p>
        </w:tc>
        <w:tc>
          <w:tcPr>
            <w:tcW w:w="72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Q2</w:t>
            </w:r>
          </w:p>
        </w:tc>
        <w:tc>
          <w:tcPr>
            <w:tcW w:w="90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Q3</w:t>
            </w:r>
          </w:p>
        </w:tc>
        <w:tc>
          <w:tcPr>
            <w:tcW w:w="198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Q4</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pPr>
            <w:r>
              <w:rPr/>
              <w:t>Debtors days (1) (*)</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Best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26 days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Realistic</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30 days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Worst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35 days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pPr>
            <w:r>
              <w:rPr/>
              <w:t xml:space="preserve">Value of APQ (2)(*) </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pPr>
            <w:r>
              <w:rPr/>
              <w:t>(millions)</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Best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£5.0</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£4.0</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Realistic</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£5.5</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£5.0</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£4.5</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Worst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£5.7</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£5.7</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£5.7</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pPr>
            <w:r>
              <w:rPr/>
              <w:t>% of invoices sent in first 2 weeks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Best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88%</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90%</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92%</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Realistic</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85%</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86%</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Worst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80%</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pPr>
            <w:r>
              <w:rPr/>
              <w:t>Direct Debit</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Best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 xml:space="preserve">50% </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 xml:space="preserve">58% </w:t>
            </w:r>
            <w:r>
              <w:rPr>
                <w:sz w:val="18"/>
              </w:rPr>
              <w:t>14 days after invoicing</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 xml:space="preserve">60% </w:t>
            </w:r>
            <w:r>
              <w:rPr>
                <w:sz w:val="18"/>
              </w:rPr>
              <w:t>14 days after invoicing</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 xml:space="preserve">63% </w:t>
            </w:r>
            <w:r>
              <w:rPr>
                <w:sz w:val="18"/>
              </w:rPr>
              <w:t>14 days after invoicing</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Realistic</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 xml:space="preserve">50% </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 xml:space="preserve">54% </w:t>
            </w:r>
            <w:r>
              <w:rPr>
                <w:sz w:val="18"/>
              </w:rPr>
              <w:t>Spread over the month</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 xml:space="preserve">56% </w:t>
            </w:r>
            <w:r>
              <w:rPr>
                <w:sz w:val="18"/>
              </w:rPr>
              <w:t>Spread over the month</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 xml:space="preserve">58% </w:t>
            </w:r>
            <w:r>
              <w:rPr>
                <w:sz w:val="18"/>
              </w:rPr>
              <w:t>in 1 go at the end of the month</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Worst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 xml:space="preserve">50% </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 xml:space="preserve">50% </w:t>
            </w:r>
          </w:p>
        </w:tc>
        <w:tc>
          <w:tcPr>
            <w:tcW w:w="900" w:type="dxa"/>
            <w:tcBorders>
              <w:top w:val="single" w:sz="6" w:space="0" w:color="000000"/>
              <w:start w:val="single" w:sz="6" w:space="0" w:color="000000"/>
              <w:bottom w:val="single" w:sz="6" w:space="0" w:color="000000"/>
              <w:end w:val="single" w:sz="6" w:space="0" w:color="000000"/>
            </w:tcBorders>
          </w:tcPr>
          <w:p>
            <w:pPr>
              <w:pStyle w:val="Normal"/>
              <w:rPr/>
            </w:pPr>
            <w:r>
              <w:rPr/>
              <w:t xml:space="preserve">50% </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 xml:space="preserve">50% </w:t>
            </w:r>
            <w:r>
              <w:rPr>
                <w:sz w:val="18"/>
              </w:rPr>
              <w:t>in 1 go at the end of the month</w:t>
            </w:r>
          </w:p>
        </w:tc>
      </w:tr>
    </w:tbl>
    <w:p>
      <w:pPr>
        <w:pStyle w:val="Normal"/>
        <w:rPr>
          <w:lang w:val="en-GB"/>
        </w:rPr>
      </w:pPr>
      <w:r>
        <w:rPr>
          <w:lang w:val="en-GB"/>
        </w:rPr>
        <w:t>(1) The calculating of DSO by continually reversing out of your debt figure the previous months sales until all of your debt is covered by the turnover from previous months. You then take the total number of days for each complete or partially complete period reversed and the days attributable to each period in order to calculate your total DSO figure.</w:t>
      </w:r>
    </w:p>
    <w:p>
      <w:pPr>
        <w:pStyle w:val="Normal"/>
        <w:rPr>
          <w:lang w:val="en-GB"/>
        </w:rPr>
      </w:pPr>
      <w:r>
        <w:rPr>
          <w:lang w:val="en-GB"/>
        </w:rPr>
        <w:t xml:space="preserve"> </w:t>
      </w:r>
      <w:r>
        <w:rPr>
          <w:lang w:val="en-GB"/>
        </w:rPr>
        <w:t>(2) APQ = The sum of account balances with an open Affects Payment Query (an account indicator which prevents an invoice being followed up)</w:t>
      </w:r>
    </w:p>
    <w:p>
      <w:pPr>
        <w:pStyle w:val="Normal"/>
        <w:rPr>
          <w:lang w:val="en-GB"/>
        </w:rPr>
      </w:pPr>
      <w:r>
        <w:rPr>
          <w:lang w:val="en-GB"/>
        </w:rPr>
        <w:t>(*) Could be brokendown in two, Managed accounts and others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ACTIONS TO BE TAKEN TO REACH PREVIOUS OBJECTIVES</w:t>
      </w:r>
    </w:p>
    <w:p>
      <w:pPr>
        <w:pStyle w:val="Normal"/>
        <w:rPr>
          <w:lang w:val="en-GB"/>
        </w:rPr>
      </w:pPr>
      <w:r>
        <w:rPr>
          <w:lang w:val="en-GB"/>
        </w:rPr>
      </w:r>
    </w:p>
    <w:p>
      <w:pPr>
        <w:pStyle w:val="Normal"/>
        <w:rPr>
          <w:lang w:val="en-GB"/>
        </w:rPr>
      </w:pPr>
      <w:r>
        <w:rPr>
          <w:lang w:val="en-GB"/>
        </w:rPr>
        <w:t xml:space="preserve">To reach the different objectives stated above ED has established different actions. </w:t>
      </w:r>
    </w:p>
    <w:p>
      <w:pPr>
        <w:pStyle w:val="Normal"/>
        <w:rPr>
          <w:lang w:val="en-GB"/>
        </w:rPr>
      </w:pPr>
      <w:r>
        <w:rPr>
          <w:lang w:val="en-GB"/>
        </w:rPr>
      </w:r>
    </w:p>
    <w:p>
      <w:pPr>
        <w:pStyle w:val="Normal"/>
        <w:numPr>
          <w:ilvl w:val="0"/>
          <w:numId w:val="2"/>
        </w:numPr>
        <w:rPr>
          <w:lang w:val="en-GB"/>
        </w:rPr>
      </w:pPr>
      <w:r>
        <w:rPr>
          <w:lang w:val="en-GB"/>
        </w:rPr>
        <w:t>Affected Payment Queries (APQ):</w:t>
      </w:r>
    </w:p>
    <w:p>
      <w:pPr>
        <w:pStyle w:val="Normal"/>
        <w:rPr>
          <w:lang w:val="en-GB"/>
        </w:rPr>
      </w:pPr>
      <w:r>
        <w:rPr>
          <w:lang w:val="en-GB"/>
        </w:rPr>
      </w:r>
    </w:p>
    <w:p>
      <w:pPr>
        <w:pStyle w:val="Normal"/>
        <w:ind w:start="720" w:end="0"/>
        <w:rPr>
          <w:lang w:val="en-GB"/>
        </w:rPr>
      </w:pPr>
      <w:r>
        <w:rPr>
          <w:lang w:val="en-GB"/>
        </w:rPr>
        <w:t>IT development is carried out to allow ED to invoice customers with APQ (until now customers with APQ were not invoiced until queries were solved). The plan is to have the systems ready by the end of March, and then to invoice all customers with queries open.</w:t>
      </w:r>
    </w:p>
    <w:p>
      <w:pPr>
        <w:pStyle w:val="Normal"/>
        <w:ind w:start="720" w:end="0"/>
        <w:rPr>
          <w:lang w:val="en-GB"/>
        </w:rPr>
      </w:pPr>
      <w:r>
        <w:rPr>
          <w:lang w:val="en-GB"/>
        </w:rPr>
      </w:r>
    </w:p>
    <w:p>
      <w:pPr>
        <w:pStyle w:val="Normal"/>
        <w:ind w:start="720" w:end="0"/>
        <w:rPr>
          <w:lang w:val="en-GB"/>
        </w:rPr>
      </w:pPr>
      <w:r>
        <w:rPr>
          <w:lang w:val="en-GB"/>
        </w:rPr>
        <w:t>Customer service is prioritising queries by value and risk profiles.</w:t>
      </w:r>
    </w:p>
    <w:p>
      <w:pPr>
        <w:pStyle w:val="Normal"/>
        <w:ind w:start="720" w:end="0"/>
        <w:rPr>
          <w:lang w:val="en-GB"/>
        </w:rPr>
      </w:pPr>
      <w:r>
        <w:rPr>
          <w:lang w:val="en-GB"/>
        </w:rPr>
      </w:r>
    </w:p>
    <w:p>
      <w:pPr>
        <w:pStyle w:val="Normal"/>
        <w:ind w:start="720" w:end="0"/>
        <w:rPr/>
      </w:pPr>
      <w:r>
        <w:rPr>
          <w:lang w:val="en-GB"/>
        </w:rPr>
        <w:t>ETOL customer service deployment is according to plan. Eight new people are operational since Monday the 19</w:t>
      </w:r>
      <w:r>
        <w:rPr>
          <w:vertAlign w:val="superscript"/>
          <w:lang w:val="en-GB"/>
        </w:rPr>
        <w:t>th</w:t>
      </w:r>
      <w:r>
        <w:rPr>
          <w:lang w:val="en-GB"/>
        </w:rPr>
        <w:t xml:space="preserve"> of March and 10 new people have started their training period. By mid May, 46 people will be fully operational at ETOL.</w:t>
      </w:r>
    </w:p>
    <w:p>
      <w:pPr>
        <w:pStyle w:val="Normal"/>
        <w:ind w:start="720" w:end="0"/>
        <w:rPr>
          <w:lang w:val="en-GB"/>
        </w:rPr>
      </w:pPr>
      <w:r>
        <w:rPr>
          <w:lang w:val="en-GB"/>
        </w:rPr>
      </w:r>
    </w:p>
    <w:p>
      <w:pPr>
        <w:pStyle w:val="Normal"/>
        <w:ind w:start="720" w:end="0"/>
        <w:rPr>
          <w:lang w:val="en-GB"/>
        </w:rPr>
      </w:pPr>
      <w:r>
        <w:rPr>
          <w:lang w:val="en-GB"/>
        </w:rPr>
        <w:t>Specific training/instructions are given for accounts managers and front office call center employees to negotiate partial payments while specific queries are in the process of solution.</w:t>
      </w:r>
    </w:p>
    <w:p>
      <w:pPr>
        <w:pStyle w:val="Normal"/>
        <w:rPr>
          <w:lang w:val="en-GB"/>
        </w:rPr>
      </w:pPr>
      <w:r>
        <w:rPr>
          <w:lang w:val="en-GB"/>
        </w:rPr>
      </w:r>
    </w:p>
    <w:p>
      <w:pPr>
        <w:pStyle w:val="Normal"/>
        <w:numPr>
          <w:ilvl w:val="0"/>
          <w:numId w:val="2"/>
        </w:numPr>
        <w:rPr>
          <w:lang w:val="en-GB"/>
        </w:rPr>
      </w:pPr>
      <w:r>
        <w:rPr>
          <w:lang w:val="en-GB"/>
        </w:rPr>
        <w:t>Unbilled customers:</w:t>
      </w:r>
    </w:p>
    <w:p>
      <w:pPr>
        <w:pStyle w:val="Normal"/>
        <w:ind w:start="360" w:end="0"/>
        <w:rPr>
          <w:lang w:val="en-GB"/>
        </w:rPr>
      </w:pPr>
      <w:r>
        <w:rPr>
          <w:lang w:val="en-GB"/>
        </w:rPr>
      </w:r>
    </w:p>
    <w:p>
      <w:pPr>
        <w:pStyle w:val="BodyTextIndent2"/>
        <w:rPr/>
      </w:pPr>
      <w:r>
        <w:rPr/>
        <w:t>IT systems modifications are in progress to bill customers that have been unbilled so far due to lack of information. This billing process will be based on historical information instead of on actual metering information. The results of this improvement will be seen by the end of April.</w:t>
      </w:r>
    </w:p>
    <w:p>
      <w:pPr>
        <w:pStyle w:val="Normal"/>
        <w:rPr>
          <w:lang w:val="en-GB"/>
        </w:rPr>
      </w:pPr>
      <w:r>
        <w:rPr>
          <w:lang w:val="en-GB"/>
        </w:rPr>
      </w:r>
    </w:p>
    <w:p>
      <w:pPr>
        <w:pStyle w:val="Normal"/>
        <w:numPr>
          <w:ilvl w:val="0"/>
          <w:numId w:val="2"/>
        </w:numPr>
        <w:rPr>
          <w:lang w:val="en-GB"/>
        </w:rPr>
      </w:pPr>
      <w:r>
        <w:rPr>
          <w:lang w:val="en-GB"/>
        </w:rPr>
        <w:t>Budget Plan:</w:t>
      </w:r>
    </w:p>
    <w:p>
      <w:pPr>
        <w:pStyle w:val="Normal"/>
        <w:ind w:start="360" w:end="0"/>
        <w:rPr>
          <w:lang w:val="en-GB"/>
        </w:rPr>
      </w:pPr>
      <w:r>
        <w:rPr>
          <w:lang w:val="en-GB"/>
        </w:rPr>
      </w:r>
    </w:p>
    <w:p>
      <w:pPr>
        <w:pStyle w:val="BodyTextIndent2"/>
        <w:rPr/>
      </w:pPr>
      <w:r>
        <w:rPr/>
        <w:t>Sales department is launching a new product called “budget plan” by which ED will offer customer the option to pay a flat amount everymonth with a reconciliation process at the end of the each annual anniversary. This package will include Direct Debit (DD) payment. The plan is to have the product available for customers in early May.</w:t>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Normal"/>
        <w:rPr>
          <w:lang w:val="en-GB"/>
        </w:rPr>
      </w:pPr>
      <w:r>
        <w:rPr>
          <w:lang w:val="en-GB"/>
        </w:rPr>
      </w:r>
    </w:p>
    <w:p>
      <w:pPr>
        <w:pStyle w:val="Normal"/>
        <w:numPr>
          <w:ilvl w:val="0"/>
          <w:numId w:val="2"/>
        </w:numPr>
        <w:rPr>
          <w:lang w:val="en-GB"/>
        </w:rPr>
      </w:pPr>
      <w:r>
        <w:rPr>
          <w:lang w:val="en-GB"/>
        </w:rPr>
        <w:t>Credit Control:</w:t>
      </w:r>
    </w:p>
    <w:p>
      <w:pPr>
        <w:pStyle w:val="Normal"/>
        <w:ind w:start="360" w:end="0"/>
        <w:rPr>
          <w:lang w:val="en-GB"/>
        </w:rPr>
      </w:pPr>
      <w:r>
        <w:rPr>
          <w:lang w:val="en-GB"/>
        </w:rPr>
      </w:r>
    </w:p>
    <w:p>
      <w:pPr>
        <w:pStyle w:val="BodyTextIndent2"/>
        <w:rPr/>
      </w:pPr>
      <w:r>
        <w:rPr/>
        <w:t xml:space="preserve">The “chasing” teams have been re-structured to prioritise high value accounts. There are two teams of “collectors”, the allocation of accounts between both teams depends on the pending balance, it has just been increased from £3,500 to £5,000. </w:t>
      </w:r>
    </w:p>
    <w:p>
      <w:pPr>
        <w:pStyle w:val="BodyTextIndent2"/>
        <w:rPr/>
      </w:pPr>
      <w:r>
        <w:rPr/>
      </w:r>
    </w:p>
    <w:p>
      <w:pPr>
        <w:pStyle w:val="BodyTextIndent2"/>
        <w:rPr/>
      </w:pPr>
      <w:r>
        <w:rPr/>
        <w:t>Team a) consists of 2 people with approx 150 accounts assigned, team b) consists of 6 people with approx 650 accounts per member of the team. To improve the efficiency of this team, 5 new credit controllers are going to be hired soon.</w:t>
      </w:r>
    </w:p>
    <w:p>
      <w:pPr>
        <w:pStyle w:val="BodyTextIndent"/>
        <w:ind w:start="0" w:end="0"/>
        <w:rPr/>
      </w:pPr>
      <w:r>
        <w:rPr/>
      </w:r>
    </w:p>
    <w:p>
      <w:pPr>
        <w:pStyle w:val="BodyTextIndent"/>
        <w:ind w:start="720" w:end="0"/>
        <w:rPr/>
      </w:pPr>
      <w:r>
        <w:rPr/>
        <w:t>Continuing the plan of sending out final reminders and disconnection letters falling due before or in the last 2 weeks of March.</w:t>
      </w:r>
    </w:p>
    <w:p>
      <w:pPr>
        <w:pStyle w:val="BodyTextIndent"/>
        <w:rPr/>
      </w:pPr>
      <w:r>
        <w:rPr/>
      </w:r>
    </w:p>
    <w:p>
      <w:pPr>
        <w:pStyle w:val="BodyTextIndent"/>
        <w:numPr>
          <w:ilvl w:val="0"/>
          <w:numId w:val="2"/>
        </w:numPr>
        <w:rPr/>
      </w:pPr>
      <w:r>
        <w:rPr/>
        <w:t xml:space="preserve">DD variable payments dates. </w:t>
      </w:r>
    </w:p>
    <w:p>
      <w:pPr>
        <w:pStyle w:val="BodyTextIndent"/>
        <w:rPr/>
      </w:pPr>
      <w:r>
        <w:rPr/>
      </w:r>
    </w:p>
    <w:p>
      <w:pPr>
        <w:pStyle w:val="BodyTextIndent"/>
        <w:ind w:start="720" w:end="0"/>
        <w:rPr/>
      </w:pPr>
      <w:r>
        <w:rPr/>
        <w:t>IT considers mid April as the time frame to have the software ready to be able to collect DD payments more frequently. They new flyer explaining our payment terms will be available by the beginning of next month.</w:t>
      </w:r>
    </w:p>
    <w:p>
      <w:pPr>
        <w:pStyle w:val="BodyTextIndent"/>
        <w:rPr/>
      </w:pPr>
      <w:r>
        <w:rPr/>
      </w:r>
    </w:p>
    <w:p>
      <w:pPr>
        <w:pStyle w:val="BodyTextIndent"/>
        <w:numPr>
          <w:ilvl w:val="0"/>
          <w:numId w:val="2"/>
        </w:numPr>
        <w:rPr/>
      </w:pPr>
      <w:r>
        <w:rPr/>
        <w:t>Credit Card payments:</w:t>
      </w:r>
    </w:p>
    <w:p>
      <w:pPr>
        <w:pStyle w:val="BodyTextIndent"/>
        <w:rPr/>
      </w:pPr>
      <w:r>
        <w:rPr/>
      </w:r>
    </w:p>
    <w:p>
      <w:pPr>
        <w:pStyle w:val="BodyTextIndent"/>
        <w:ind w:start="720" w:end="0"/>
        <w:rPr/>
      </w:pPr>
      <w:r>
        <w:rPr/>
        <w:t>Finance department is investigating the feasibility of Credit Card payments. This new payment method will be offered as soon as the study is finished.</w:t>
      </w:r>
    </w:p>
    <w:p>
      <w:pPr>
        <w:pStyle w:val="BodyTextIndent"/>
        <w:rPr/>
      </w:pPr>
      <w:r>
        <w:rPr/>
      </w:r>
    </w:p>
    <w:p>
      <w:pPr>
        <w:pStyle w:val="BodyTextIndent"/>
        <w:numPr>
          <w:ilvl w:val="0"/>
          <w:numId w:val="2"/>
        </w:numPr>
        <w:rPr/>
      </w:pPr>
      <w:r>
        <w:rPr/>
        <w:t>Motivation scheme:</w:t>
      </w:r>
    </w:p>
    <w:p>
      <w:pPr>
        <w:pStyle w:val="BodyTextIndent"/>
        <w:rPr/>
      </w:pPr>
      <w:r>
        <w:rPr/>
      </w:r>
    </w:p>
    <w:p>
      <w:pPr>
        <w:pStyle w:val="BodyTextIndent"/>
        <w:ind w:start="720" w:end="0"/>
        <w:rPr/>
      </w:pPr>
      <w:r>
        <w:rPr/>
        <w:t>To motivate all the company in this important issue. Development of a special bonus scheme for all the employees subject to reach certain levels of success in achieving the objectives stated above.</w:t>
      </w:r>
    </w:p>
    <w:p>
      <w:pPr>
        <w:pStyle w:val="BodyTextIndent"/>
        <w:ind w:start="720" w:end="0"/>
        <w:rPr/>
      </w:pPr>
      <w:r>
        <w:rPr/>
      </w:r>
    </w:p>
    <w:p>
      <w:pPr>
        <w:pStyle w:val="BodyTextIndent"/>
        <w:numPr>
          <w:ilvl w:val="0"/>
          <w:numId w:val="2"/>
        </w:numPr>
        <w:rPr/>
      </w:pPr>
      <w:r>
        <w:rPr/>
        <w:t>Follow up process:</w:t>
      </w:r>
    </w:p>
    <w:p>
      <w:pPr>
        <w:pStyle w:val="BodyTextIndent"/>
        <w:ind w:start="720" w:end="0"/>
        <w:rPr/>
      </w:pPr>
      <w:r>
        <w:rPr/>
        <w:t>A committee has been appointed to follow the progress of the targets and the implementation of the actions planned. This committee will meet in a weekly basis.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5"/>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lang w:val="en-GB"/>
    </w:rPr>
  </w:style>
  <w:style w:type="paragraph" w:styleId="Heading2">
    <w:name w:val="heading 2"/>
    <w:basedOn w:val="Normal"/>
    <w:next w:val="Normal"/>
    <w:qFormat/>
    <w:pPr>
      <w:keepNext w:val="true"/>
      <w:numPr>
        <w:ilvl w:val="1"/>
        <w:numId w:val="1"/>
      </w:numPr>
      <w:outlineLvl w:val="1"/>
    </w:pPr>
    <w:rPr>
      <w:i/>
      <w:iCs/>
      <w:u w:val="single"/>
      <w:lang w:val="en-GB"/>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lang w:val="en-GB"/>
    </w:rPr>
  </w:style>
  <w:style w:type="paragraph" w:styleId="BodyTextIndent2">
    <w:name w:val="Body Text Indent 2"/>
    <w:basedOn w:val="Normal"/>
    <w:qFormat/>
    <w:pPr>
      <w:ind w:hanging="0" w:start="720" w:end="0"/>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2001-03-23T09:48:00Z</dcterms:created>
  <dc:creator>egimenez</dc:creator>
  <dc:description/>
  <dc:language>en-CA</dc:language>
  <cp:lastModifiedBy>sglover</cp:lastModifiedBy>
  <cp:lastPrinted>2001-03-23T06:18:00Z</cp:lastPrinted>
  <dcterms:modified xsi:type="dcterms:W3CDTF">2001-03-23T09:48:00Z</dcterms:modified>
  <cp:revision>2</cp:revision>
  <dc:subject/>
  <dc:title>CASH COLLECTION – ACTION PLAN</dc:title>
</cp:coreProperties>
</file>