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ARTICLE EIGHT:   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8.1</w:t>
        <w:tab/>
      </w:r>
      <w:r>
        <w:rPr>
          <w:sz w:val="24"/>
          <w:u w:val="single"/>
        </w:rPr>
        <w:t>Party A Credit Protection</w:t>
      </w:r>
      <w:r>
        <w:rPr>
          <w:sz w:val="24"/>
        </w:rPr>
        <w:t>.  The applicable credit and collateral requirements shall be as specified on the Cover Sheet.  If no option is checked in Section 8.1(a), Section 8.l(a) Option C shall apply exclusively.  If none of the selections in Section 8.1(b), 8.1(c) or 8.1(d) is checked, Section 8.1(b)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(a)</w:t>
        <w:tab/>
      </w:r>
      <w:r>
        <w:rPr>
          <w:sz w:val="24"/>
          <w:u w:val="single"/>
        </w:rPr>
        <w:t>Financial Information</w:t>
      </w:r>
      <w:r>
        <w:rPr>
          <w:sz w:val="24"/>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 xml:space="preserve">Option C:  Party A may request from Party B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(b)</w:t>
        <w:tab/>
      </w:r>
      <w:r>
        <w:rPr>
          <w:sz w:val="24"/>
          <w:u w:val="single"/>
        </w:rPr>
        <w:t>Credit Assurances</w:t>
      </w:r>
      <w:r>
        <w:rPr>
          <w:sz w:val="24"/>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Performance Assurance to Party A in an amount reasonably determined by Party A.  In the event that Party B fails to provide such Performance Assurance, or a guaranty or other credit assurance acceptable to Party A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(c)</w:t>
        <w:tab/>
      </w:r>
      <w:r>
        <w:rPr>
          <w:sz w:val="24"/>
          <w:u w:val="single"/>
        </w:rPr>
        <w:t>Collateral Threshold</w:t>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(d)</w:t>
        <w:tab/>
      </w:r>
      <w:r>
        <w:rPr>
          <w:sz w:val="24"/>
          <w:u w:val="single"/>
        </w:rPr>
        <w:t>Downgrade Event</w:t>
      </w:r>
      <w:r>
        <w:rPr>
          <w:sz w:val="24"/>
        </w:rPr>
        <w:t>.  If at any time there shall occur a Downgrade Event in respect of Party B, then Party A may require Party B to provide Performance Assurance in an amount reasonably determined by Party A.  In the event Party B shall fail to provide such Performance Assurance or a guaranty or other credit assurance acceptable to Party A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8.2</w:t>
        <w:tab/>
      </w:r>
      <w:r>
        <w:rPr>
          <w:sz w:val="24"/>
          <w:u w:val="single"/>
        </w:rPr>
        <w:t>Party B Credit Protection</w:t>
      </w:r>
      <w:r>
        <w:rPr>
          <w:sz w:val="24"/>
        </w:rPr>
        <w:t>.  The applicable credit and collateral requirements shall be as specified on the Cover Sheet.  If no option is checked in Section 8.2(a), Section 8.2(a) Option C shall apply exclusively.  If none of the selections in Section 8.2(b), 8.2(c) or 8.2(d) is checked, Section 8.2(b)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(a)</w:t>
        <w:tab/>
      </w:r>
      <w:r>
        <w:rPr>
          <w:sz w:val="24"/>
          <w:u w:val="single"/>
        </w:rPr>
        <w:t>Financial Information</w:t>
      </w:r>
      <w:r>
        <w:rPr>
          <w:sz w:val="24"/>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 xml:space="preserve">Option C:  Party B may request from Party A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(b)</w:t>
        <w:tab/>
      </w:r>
      <w:r>
        <w:rPr>
          <w:sz w:val="24"/>
          <w:u w:val="single"/>
        </w:rPr>
        <w:t>Credit Assurances</w:t>
      </w:r>
      <w:r>
        <w:rPr>
          <w:sz w:val="24"/>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Performance Assurance to Party B in an amount reasonably determined by Party B.  In the event that Party A fails to provide such Performance Assurance, or a guaranty or other credit assurance acceptable to Party B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(c)</w:t>
        <w:tab/>
      </w:r>
      <w:r>
        <w:rPr>
          <w:sz w:val="24"/>
          <w:u w:val="single"/>
        </w:rPr>
        <w:t>Collateral Threshold</w:t>
      </w:r>
      <w:r>
        <w:rPr>
          <w:sz w:val="24"/>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(d)</w:t>
        <w:tab/>
      </w:r>
      <w:r>
        <w:rPr>
          <w:sz w:val="24"/>
          <w:u w:val="single"/>
        </w:rPr>
        <w:t>Downgrade Event</w:t>
      </w:r>
      <w:r>
        <w:rPr>
          <w:sz w:val="24"/>
        </w:rPr>
        <w:t>.  If at any time there shall occur a Downgrade Event in respect of Party A, then Party B may require Party A to provide Performance Assurance in an amount reasonably determined by Party B.  In the event Party A shall fail to provide such Performance Assurance or a guaranty or other credit assurance acceptable to Party B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 xml:space="preserve">8.3 </w:t>
        <w:tab/>
      </w:r>
      <w:r>
        <w:rPr>
          <w:sz w:val="24"/>
          <w:u w:val="single"/>
        </w:rPr>
        <w:t>Grant of Security Interest/Remedies</w:t>
      </w:r>
      <w:r>
        <w:rPr>
          <w:sz w:val="24"/>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tbl>
      <w:tblPr>
        <w:tblW w:w="10710" w:type="dxa"/>
        <w:jc w:val="start"/>
        <w:tblInd w:w="18" w:type="dxa"/>
        <w:tblLayout w:type="fixed"/>
        <w:tblCellMar>
          <w:top w:w="0" w:type="dxa"/>
          <w:start w:w="108" w:type="dxa"/>
          <w:bottom w:w="0" w:type="dxa"/>
          <w:end w:w="108" w:type="dxa"/>
        </w:tblCellMar>
      </w:tblPr>
      <w:tblGrid>
        <w:gridCol w:w="3582"/>
        <w:gridCol w:w="7128"/>
      </w:tblGrid>
      <w:tr>
        <w:trPr>
          <w:trHeight w:val="3592" w:hRule="exact"/>
        </w:trPr>
        <w:tc>
          <w:tcPr>
            <w:tcW w:w="3582" w:type="dxa"/>
            <w:tcBorders/>
          </w:tcPr>
          <w:p>
            <w:pPr>
              <w:pStyle w:val="Heading6"/>
              <w:ind w:hanging="0" w:start="0"/>
              <w:rPr/>
            </w:pPr>
            <w:r>
              <w:rPr/>
              <w:t>Article 8</w:t>
            </w:r>
          </w:p>
          <w:p>
            <w:pPr>
              <w:pStyle w:val="Normal"/>
              <w:rPr/>
            </w:pPr>
            <w:r>
              <w:rPr/>
              <w:t>Credit and Collateral</w:t>
            </w:r>
          </w:p>
          <w:p>
            <w:pPr>
              <w:pStyle w:val="Normal"/>
              <w:rPr/>
            </w:pPr>
            <w:r>
              <w:rPr/>
              <w:t>Requirements</w:t>
            </w:r>
          </w:p>
        </w:tc>
        <w:tc>
          <w:tcPr>
            <w:tcW w:w="7128" w:type="dxa"/>
            <w:tcBorders/>
          </w:tcPr>
          <w:p>
            <w:pPr>
              <w:pStyle w:val="Normal"/>
              <w:rPr/>
            </w:pPr>
            <w:r>
              <w:rPr>
                <w:b/>
              </w:rPr>
              <w:t xml:space="preserve">8.1 </w:t>
            </w:r>
            <w:r>
              <w:rPr>
                <w:b/>
                <w:u w:val="single"/>
              </w:rPr>
              <w:t>Party A Credit Protection</w:t>
            </w:r>
            <w:r>
              <w:rPr>
                <w:b/>
              </w:rPr>
              <w:t>:</w:t>
            </w:r>
          </w:p>
          <w:p>
            <w:pPr>
              <w:pStyle w:val="Normal"/>
              <w:spacing w:before="120" w:after="0"/>
              <w:rPr/>
            </w:pPr>
            <w:r>
              <w:rPr/>
              <w:tab/>
            </w:r>
            <w:r>
              <w:rPr>
                <w:b/>
              </w:rPr>
              <w:t>(a)  Financial Information:</w:t>
            </w:r>
          </w:p>
          <w:p>
            <w:pPr>
              <w:pStyle w:val="Normal"/>
              <w:spacing w:before="120" w:after="0"/>
              <w:rPr/>
            </w:pPr>
            <w:r>
              <w:rPr/>
              <w:tab/>
              <w:tab/>
            </w:r>
            <w:r>
              <w:rPr>
                <w:rFonts w:cs="WP TypographicSymbols" w:ascii="WP TypographicSymbols" w:hAnsi="WP TypographicSymbols"/>
              </w:rPr>
              <w:t></w:t>
            </w:r>
            <w:r>
              <w:rPr/>
              <w:t xml:space="preserve"> Option A</w:t>
            </w:r>
          </w:p>
          <w:p>
            <w:pPr>
              <w:pStyle w:val="Normal"/>
              <w:ind w:firstLine="720" w:end="0"/>
              <w:rPr/>
            </w:pPr>
            <w:r>
              <w:rPr>
                <w:rFonts w:cs="WP TypographicSymbols" w:ascii="WP TypographicSymbols" w:hAnsi="WP TypographicSymbols"/>
              </w:rPr>
              <w:tab/>
              <w:t></w:t>
            </w:r>
            <w:r>
              <w:rPr/>
              <w:t xml:space="preserve"> Option B   Specify :______________________</w:t>
            </w:r>
          </w:p>
          <w:p>
            <w:pPr>
              <w:pStyle w:val="Normal"/>
              <w:rPr/>
            </w:pPr>
            <w:r>
              <w:rPr/>
              <w:tab/>
              <w:tab/>
            </w:r>
            <w:r>
              <w:rPr>
                <w:rFonts w:cs="WP TypographicSymbols" w:ascii="WP TypographicSymbols" w:hAnsi="WP TypographicSymbols"/>
              </w:rPr>
              <w:t></w:t>
            </w:r>
            <w:r>
              <w:rPr/>
              <w:t xml:space="preserve"> Option C   Specify:______________________</w:t>
            </w:r>
          </w:p>
          <w:p>
            <w:pPr>
              <w:pStyle w:val="Normal"/>
              <w:spacing w:before="120" w:after="0"/>
              <w:rPr/>
            </w:pPr>
            <w:r>
              <w:rPr/>
              <w:tab/>
            </w:r>
            <w:r>
              <w:rPr>
                <w:b/>
              </w:rPr>
              <w:t>(b)  Credit Assurances:</w:t>
            </w:r>
          </w:p>
          <w:p>
            <w:pPr>
              <w:pStyle w:val="Normal"/>
              <w:spacing w:before="120" w:after="0"/>
              <w:rPr/>
            </w:pPr>
            <w:r>
              <w:rPr/>
              <w:tab/>
              <w:tab/>
            </w:r>
            <w:r>
              <w:rPr>
                <w:rFonts w:cs="WP TypographicSymbols" w:ascii="WP TypographicSymbols" w:hAnsi="WP TypographicSymbols"/>
              </w:rPr>
              <w:t></w:t>
            </w:r>
            <w:r>
              <w:rPr/>
              <w:t xml:space="preserve"> Not Applicable</w:t>
            </w:r>
          </w:p>
          <w:p>
            <w:pPr>
              <w:pStyle w:val="Normal"/>
              <w:rPr/>
            </w:pPr>
            <w:r>
              <w:rPr/>
              <w:tab/>
              <w:tab/>
            </w:r>
            <w:r>
              <w:rPr>
                <w:rFonts w:cs="WP TypographicSymbols" w:ascii="WP TypographicSymbols" w:hAnsi="WP TypographicSymbols"/>
              </w:rPr>
              <w:t></w:t>
            </w:r>
            <w:r>
              <w:rPr/>
              <w:t xml:space="preserve"> Applicable</w:t>
            </w:r>
          </w:p>
          <w:p>
            <w:pPr>
              <w:pStyle w:val="Normal"/>
              <w:spacing w:before="120" w:after="0"/>
              <w:rPr/>
            </w:pPr>
            <w:r>
              <w:rPr/>
              <w:tab/>
            </w:r>
            <w:r>
              <w:rPr>
                <w:b/>
              </w:rPr>
              <w:t>(c)  Collateral Threshold:</w:t>
            </w:r>
          </w:p>
          <w:p>
            <w:pPr>
              <w:pStyle w:val="Normal"/>
              <w:spacing w:before="120" w:after="0"/>
              <w:rPr/>
            </w:pPr>
            <w:r>
              <w:rPr/>
              <w:tab/>
              <w:tab/>
            </w:r>
            <w:r>
              <w:rPr>
                <w:rFonts w:cs="WP TypographicSymbols" w:ascii="WP TypographicSymbols" w:hAnsi="WP TypographicSymbols"/>
              </w:rPr>
              <w:t></w:t>
            </w:r>
            <w:r>
              <w:rPr/>
              <w:t xml:space="preserve"> Not Applicable</w:t>
            </w:r>
          </w:p>
          <w:p>
            <w:pPr>
              <w:pStyle w:val="Normal"/>
              <w:rPr/>
            </w:pPr>
            <w:r>
              <w:rPr/>
              <w:tab/>
              <w:tab/>
            </w:r>
            <w:r>
              <w:rPr>
                <w:rFonts w:cs="WP TypographicSymbols" w:ascii="WP TypographicSymbols" w:hAnsi="WP TypographicSymbols"/>
              </w:rPr>
              <w:t></w:t>
            </w:r>
            <w:r>
              <w:rPr/>
              <w:t xml:space="preserve"> Applicable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u w:val="single"/>
              </w:rPr>
              <w:t>8.2</w:t>
            </w:r>
            <w:r>
              <w:rPr/>
              <w:t xml:space="preserve">  Credit Assurance</w:t>
              <w:br/>
              <w:t xml:space="preserve">             </w:t>
            </w:r>
            <w:r>
              <w:rPr>
                <w:rFonts w:cs="WP TypographicSymbols" w:ascii="WP TypographicSymbols" w:hAnsi="WP TypographicSymbols"/>
              </w:rPr>
              <w:t></w:t>
            </w:r>
            <w:r>
              <w:rPr/>
              <w:t xml:space="preserve"> Applicable if no other Section 8..3 or 8.4 selection is made.</w:t>
            </w:r>
          </w:p>
        </w:tc>
      </w:tr>
    </w:tbl>
    <w:p>
      <w:pPr>
        <w:pStyle w:val="Normal"/>
        <w:spacing w:before="120" w:after="0"/>
        <w:ind w:firstLine="720" w:start="2880" w:end="0"/>
        <w:rPr>
          <w:b/>
        </w:rPr>
      </w:pPr>
      <w:r>
        <w:rPr>
          <w:b/>
        </w:rPr>
        <w:t>If applicable, complete the following:</w:t>
      </w:r>
    </w:p>
    <w:p>
      <w:pPr>
        <w:pStyle w:val="Normal"/>
        <w:spacing w:before="120" w:after="0"/>
        <w:ind w:start="3960" w:end="0"/>
        <w:rPr/>
      </w:pPr>
      <w:r>
        <w:rPr>
          <w:i/>
        </w:rPr>
        <w:t xml:space="preserve">Party B Collateral Threshold: </w:t>
      </w:r>
      <w:r>
        <w:rPr/>
        <w:t>$ __________; provided, however, that Party B’s Collateral Threshold shall be zero if an Event of  Default or Potential Event of Default with respect to  Party B has occurred and is continuing.</w:t>
      </w:r>
    </w:p>
    <w:p>
      <w:pPr>
        <w:pStyle w:val="Normal"/>
        <w:spacing w:before="120" w:after="0"/>
        <w:ind w:start="3960" w:end="0"/>
        <w:rPr/>
      </w:pPr>
      <w:r>
        <w:rPr>
          <w:i/>
        </w:rPr>
        <w:t>Party B Independent Amount</w:t>
      </w:r>
      <w:r>
        <w:rPr/>
        <w:t>: $__________</w:t>
      </w:r>
    </w:p>
    <w:p>
      <w:pPr>
        <w:pStyle w:val="Footer"/>
        <w:tabs>
          <w:tab w:val="clear" w:pos="4320"/>
          <w:tab w:val="clear" w:pos="8640"/>
        </w:tabs>
        <w:spacing w:before="120" w:after="0"/>
        <w:ind w:start="3960" w:end="0"/>
        <w:rPr/>
      </w:pPr>
      <w:r>
        <w:rPr>
          <w:i/>
          <w:sz w:val="22"/>
        </w:rPr>
        <w:t>Party B Rounding Amount</w:t>
      </w:r>
      <w:r>
        <w:rPr>
          <w:sz w:val="22"/>
        </w:rPr>
        <w:t>:     $__________</w:t>
      </w:r>
    </w:p>
    <w:p>
      <w:pPr>
        <w:pStyle w:val="Normal"/>
        <w:rPr>
          <w:sz w:val="22"/>
        </w:rPr>
      </w:pPr>
      <w:r>
        <w:rPr>
          <w:sz w:val="22"/>
        </w:rPr>
      </w:r>
    </w:p>
    <w:tbl>
      <w:tblPr>
        <w:tblW w:w="10710" w:type="dxa"/>
        <w:jc w:val="start"/>
        <w:tblInd w:w="18" w:type="dxa"/>
        <w:tblLayout w:type="fixed"/>
        <w:tblCellMar>
          <w:top w:w="0" w:type="dxa"/>
          <w:start w:w="108" w:type="dxa"/>
          <w:bottom w:w="0" w:type="dxa"/>
          <w:end w:w="108" w:type="dxa"/>
        </w:tblCellMar>
      </w:tblPr>
      <w:tblGrid>
        <w:gridCol w:w="3582"/>
        <w:gridCol w:w="7128"/>
      </w:tblGrid>
      <w:tr>
        <w:trPr>
          <w:trHeight w:val="3592" w:hRule="exact"/>
        </w:trPr>
        <w:tc>
          <w:tcPr>
            <w:tcW w:w="3582" w:type="dxa"/>
            <w:tcBorders/>
          </w:tcPr>
          <w:p>
            <w:pPr>
              <w:pStyle w:val="Heading6"/>
              <w:snapToGrid w:val="false"/>
              <w:ind w:hanging="0" w:start="0"/>
              <w:rPr/>
            </w:pPr>
            <w:r>
              <w:rPr/>
            </w:r>
          </w:p>
        </w:tc>
        <w:tc>
          <w:tcPr>
            <w:tcW w:w="7128" w:type="dxa"/>
            <w:tcBorders/>
          </w:tcPr>
          <w:p>
            <w:pPr>
              <w:pStyle w:val="Normal"/>
              <w:ind w:end="1152"/>
              <w:rPr/>
            </w:pPr>
            <w:r>
              <w:rPr/>
              <w:tab/>
            </w:r>
            <w:r>
              <w:rPr>
                <w:b/>
              </w:rPr>
              <w:t>(d)  Downgrade Event:</w:t>
            </w:r>
          </w:p>
          <w:p>
            <w:pPr>
              <w:pStyle w:val="Normal"/>
              <w:spacing w:before="120" w:after="0"/>
              <w:rPr/>
            </w:pPr>
            <w:r>
              <w:rPr/>
              <w:tab/>
              <w:tab/>
            </w:r>
            <w:r>
              <w:rPr>
                <w:rFonts w:cs="WP TypographicSymbols" w:ascii="WP TypographicSymbols" w:hAnsi="WP TypographicSymbols"/>
              </w:rPr>
              <w:t></w:t>
            </w:r>
            <w:r>
              <w:rPr/>
              <w:t xml:space="preserve"> Not Applicable</w:t>
            </w:r>
          </w:p>
          <w:p>
            <w:pPr>
              <w:pStyle w:val="Normal"/>
              <w:rPr/>
            </w:pPr>
            <w:r>
              <w:rPr/>
              <w:tab/>
              <w:tab/>
            </w:r>
            <w:r>
              <w:rPr>
                <w:rFonts w:cs="WP TypographicSymbols" w:ascii="WP TypographicSymbols" w:hAnsi="WP TypographicSymbols"/>
              </w:rPr>
              <w:t></w:t>
            </w:r>
            <w:r>
              <w:rPr/>
              <w:t xml:space="preserve"> Applicable</w:t>
            </w:r>
          </w:p>
          <w:p>
            <w:pPr>
              <w:pStyle w:val="Normal"/>
              <w:spacing w:before="120" w:after="0"/>
              <w:ind w:end="1152"/>
              <w:rPr/>
            </w:pPr>
            <w:r>
              <w:rPr>
                <w:b/>
              </w:rPr>
              <w:t>If applicable, complete the following:</w:t>
            </w:r>
          </w:p>
          <w:p>
            <w:pPr>
              <w:pStyle w:val="Normal"/>
              <w:spacing w:before="120" w:after="0"/>
              <w:ind w:hanging="360" w:start="1080" w:end="1152"/>
              <w:rPr/>
            </w:pPr>
            <w:r>
              <w:rPr>
                <w:rFonts w:cs="WP TypographicSymbols" w:ascii="WP TypographicSymbols" w:hAnsi="WP TypographicSymbols"/>
              </w:rPr>
              <w:t></w:t>
            </w:r>
            <w:r>
              <w:rPr/>
              <w:tab/>
              <w:t xml:space="preserve">It shall be a Downgrade Event for Party B if Party B's Credit Rating falls below __________ from S&amp;P or  __________ from Moody’s or if  Party B is not rated by either S&amp;P or Moody’s </w:t>
            </w:r>
          </w:p>
          <w:p>
            <w:pPr>
              <w:pStyle w:val="Normal"/>
              <w:spacing w:before="120" w:after="0"/>
              <w:ind w:hanging="360" w:start="1080" w:end="1152"/>
              <w:rPr/>
            </w:pPr>
            <w:r>
              <w:rPr>
                <w:rFonts w:cs="WP TypographicSymbols" w:ascii="WP TypographicSymbols" w:hAnsi="WP TypographicSymbols"/>
              </w:rPr>
              <w:t></w:t>
            </w:r>
            <w:r>
              <w:rPr>
                <w:rFonts w:cs="WP TypographicSymbols" w:ascii="WP TypographicSymbols" w:hAnsi="WP TypographicSymbols"/>
              </w:rPr>
              <w:tab/>
            </w:r>
            <w:r>
              <w:rPr/>
              <w:t xml:space="preserve">Other: </w:t>
            </w:r>
          </w:p>
          <w:p>
            <w:pPr>
              <w:pStyle w:val="Normal"/>
              <w:spacing w:before="120" w:after="0"/>
              <w:ind w:hanging="360" w:start="1080" w:end="1152"/>
              <w:rPr/>
            </w:pPr>
            <w:r>
              <w:rPr/>
              <w:tab/>
              <w:t>Specify: ________________________________</w:t>
            </w:r>
          </w:p>
          <w:p>
            <w:pPr>
              <w:pStyle w:val="Normal"/>
              <w:ind w:end="1152"/>
              <w:rPr/>
            </w:pPr>
            <w:r>
              <w:rPr/>
            </w:r>
          </w:p>
        </w:tc>
      </w:tr>
    </w:tbl>
    <w:p>
      <w:pPr>
        <w:pStyle w:val="Footer"/>
        <w:tabs>
          <w:tab w:val="clear" w:pos="4320"/>
          <w:tab w:val="clear" w:pos="8640"/>
        </w:tabs>
        <w:spacing w:before="0" w:after="120"/>
        <w:ind w:firstLine="720" w:start="2880" w:end="0"/>
        <w:rPr>
          <w:sz w:val="22"/>
        </w:rPr>
      </w:pPr>
      <w:r>
        <w:rPr>
          <w:sz w:val="22"/>
        </w:rPr>
      </w:r>
    </w:p>
    <w:p>
      <w:pPr>
        <w:pStyle w:val="Normal"/>
        <w:rPr>
          <w:sz w:val="22"/>
        </w:rPr>
      </w:pPr>
      <w:r>
        <w:rPr>
          <w:sz w:val="22"/>
        </w:rPr>
      </w:r>
    </w:p>
    <w:p>
      <w:pPr>
        <w:pStyle w:val="Normal"/>
        <w:rPr/>
      </w:pPr>
      <w:r>
        <w:rPr/>
      </w:r>
      <w:r>
        <w:br w:type="page"/>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3618"/>
        <w:gridCol w:w="7398"/>
      </w:tblGrid>
      <w:tr>
        <w:trPr>
          <w:trHeight w:val="8945" w:hRule="atLeast"/>
        </w:trPr>
        <w:tc>
          <w:tcPr>
            <w:tcW w:w="3618" w:type="dxa"/>
            <w:tcBorders/>
          </w:tcPr>
          <w:p>
            <w:pPr>
              <w:pStyle w:val="CommentText"/>
              <w:snapToGrid w:val="false"/>
              <w:rPr/>
            </w:pPr>
            <w:r>
              <w:rPr/>
            </w:r>
          </w:p>
        </w:tc>
        <w:tc>
          <w:tcPr>
            <w:tcW w:w="7398" w:type="dxa"/>
            <w:tcBorders/>
          </w:tcPr>
          <w:p>
            <w:pPr>
              <w:pStyle w:val="Normal"/>
              <w:tabs>
                <w:tab w:val="clear" w:pos="720"/>
                <w:tab w:val="left" w:pos="360" w:leader="none"/>
              </w:tabs>
              <w:ind w:hanging="360" w:start="360" w:end="1440"/>
              <w:rPr/>
            </w:pPr>
            <w:r>
              <w:rPr>
                <w:b/>
              </w:rPr>
              <w:t>8.2</w:t>
              <w:tab/>
            </w:r>
            <w:r>
              <w:rPr>
                <w:b/>
                <w:u w:val="single"/>
              </w:rPr>
              <w:t>Party B Credit Protection:</w:t>
            </w:r>
          </w:p>
          <w:p>
            <w:pPr>
              <w:pStyle w:val="Normal"/>
              <w:spacing w:before="120" w:after="0"/>
              <w:ind w:end="1440"/>
              <w:rPr/>
            </w:pPr>
            <w:r>
              <w:rPr/>
              <w:tab/>
            </w:r>
            <w:r>
              <w:rPr>
                <w:b/>
              </w:rPr>
              <w:t>(a)  Financial Information:</w:t>
            </w:r>
          </w:p>
          <w:p>
            <w:pPr>
              <w:pStyle w:val="Normal"/>
              <w:spacing w:before="120" w:after="0"/>
              <w:ind w:end="1440"/>
              <w:rPr/>
            </w:pPr>
            <w:r>
              <w:rPr/>
              <w:tab/>
              <w:tab/>
            </w:r>
            <w:r>
              <w:rPr>
                <w:rFonts w:cs="WP TypographicSymbols" w:ascii="WP TypographicSymbols" w:hAnsi="WP TypographicSymbols"/>
              </w:rPr>
              <w:t></w:t>
            </w:r>
            <w:r>
              <w:rPr/>
              <w:t xml:space="preserve"> Option A</w:t>
            </w:r>
          </w:p>
          <w:p>
            <w:pPr>
              <w:pStyle w:val="Normal"/>
              <w:ind w:firstLine="720" w:end="1440"/>
              <w:rPr/>
            </w:pPr>
            <w:r>
              <w:rPr>
                <w:rFonts w:cs="WP TypographicSymbols" w:ascii="WP TypographicSymbols" w:hAnsi="WP TypographicSymbols"/>
              </w:rPr>
              <w:tab/>
              <w:t></w:t>
            </w:r>
            <w:r>
              <w:rPr/>
              <w:t xml:space="preserve"> Option B   Specify :____________________</w:t>
            </w:r>
          </w:p>
          <w:p>
            <w:pPr>
              <w:pStyle w:val="Normal"/>
              <w:ind w:end="1440"/>
              <w:rPr/>
            </w:pPr>
            <w:r>
              <w:rPr/>
              <w:tab/>
              <w:tab/>
            </w:r>
            <w:r>
              <w:rPr>
                <w:rFonts w:cs="WP TypographicSymbols" w:ascii="WP TypographicSymbols" w:hAnsi="WP TypographicSymbols"/>
              </w:rPr>
              <w:t></w:t>
            </w:r>
            <w:r>
              <w:rPr/>
              <w:t xml:space="preserve"> Option C   Specify:____________________</w:t>
            </w:r>
          </w:p>
          <w:p>
            <w:pPr>
              <w:pStyle w:val="Normal"/>
              <w:spacing w:before="120" w:after="0"/>
              <w:ind w:end="1440"/>
              <w:rPr/>
            </w:pPr>
            <w:r>
              <w:rPr/>
              <w:tab/>
            </w:r>
            <w:r>
              <w:rPr>
                <w:b/>
              </w:rPr>
              <w:t>(b)  Credit Assurances:</w:t>
            </w:r>
          </w:p>
          <w:p>
            <w:pPr>
              <w:pStyle w:val="Normal"/>
              <w:spacing w:before="120" w:after="0"/>
              <w:ind w:end="1440"/>
              <w:rPr/>
            </w:pPr>
            <w:r>
              <w:rPr/>
              <w:tab/>
              <w:tab/>
            </w:r>
            <w:r>
              <w:rPr>
                <w:rFonts w:cs="WP TypographicSymbols" w:ascii="WP TypographicSymbols" w:hAnsi="WP TypographicSymbols"/>
              </w:rPr>
              <w:t></w:t>
            </w:r>
            <w:r>
              <w:rPr/>
              <w:t xml:space="preserve"> Not Applicable</w:t>
            </w:r>
          </w:p>
          <w:p>
            <w:pPr>
              <w:pStyle w:val="Normal"/>
              <w:ind w:end="1440"/>
              <w:rPr/>
            </w:pPr>
            <w:r>
              <w:rPr/>
              <w:tab/>
              <w:tab/>
            </w:r>
            <w:r>
              <w:rPr>
                <w:rFonts w:cs="WP TypographicSymbols" w:ascii="WP TypographicSymbols" w:hAnsi="WP TypographicSymbols"/>
              </w:rPr>
              <w:t></w:t>
            </w:r>
            <w:r>
              <w:rPr/>
              <w:t xml:space="preserve"> Applicable</w:t>
            </w:r>
          </w:p>
          <w:p>
            <w:pPr>
              <w:pStyle w:val="Normal"/>
              <w:spacing w:before="120" w:after="0"/>
              <w:ind w:end="1440"/>
              <w:rPr/>
            </w:pPr>
            <w:r>
              <w:rPr/>
              <w:tab/>
            </w:r>
            <w:r>
              <w:rPr>
                <w:b/>
              </w:rPr>
              <w:t>(c)  Collateral Threshold:</w:t>
            </w:r>
          </w:p>
          <w:p>
            <w:pPr>
              <w:pStyle w:val="Normal"/>
              <w:spacing w:before="120" w:after="0"/>
              <w:ind w:end="1440"/>
              <w:rPr/>
            </w:pPr>
            <w:r>
              <w:rPr/>
              <w:tab/>
              <w:tab/>
            </w:r>
            <w:r>
              <w:rPr>
                <w:rFonts w:cs="WP TypographicSymbols" w:ascii="WP TypographicSymbols" w:hAnsi="WP TypographicSymbols"/>
              </w:rPr>
              <w:t></w:t>
            </w:r>
            <w:r>
              <w:rPr/>
              <w:t xml:space="preserve"> Not Applicable</w:t>
            </w:r>
          </w:p>
          <w:p>
            <w:pPr>
              <w:pStyle w:val="Normal"/>
              <w:ind w:end="1440"/>
              <w:rPr/>
            </w:pPr>
            <w:r>
              <w:rPr/>
              <w:tab/>
              <w:tab/>
            </w:r>
            <w:r>
              <w:rPr>
                <w:rFonts w:cs="WP TypographicSymbols" w:ascii="WP TypographicSymbols" w:hAnsi="WP TypographicSymbols"/>
              </w:rPr>
              <w:t></w:t>
            </w:r>
            <w:r>
              <w:rPr/>
              <w:t xml:space="preserve"> Applicable</w:t>
            </w:r>
          </w:p>
          <w:p>
            <w:pPr>
              <w:pStyle w:val="Normal"/>
              <w:spacing w:before="120" w:after="0"/>
              <w:ind w:end="1440"/>
              <w:rPr>
                <w:b/>
              </w:rPr>
            </w:pPr>
            <w:r>
              <w:rPr>
                <w:b/>
              </w:rPr>
              <w:t>If applicable, complete the following:</w:t>
            </w:r>
          </w:p>
          <w:p>
            <w:pPr>
              <w:pStyle w:val="Normal"/>
              <w:spacing w:before="120" w:after="0"/>
              <w:ind w:start="702" w:end="1440"/>
              <w:rPr/>
            </w:pPr>
            <w:r>
              <w:rPr>
                <w:i/>
              </w:rPr>
              <w:t>Party A Collateral Threshold:</w:t>
            </w:r>
            <w:r>
              <w:rPr/>
              <w:t xml:space="preserve"> $_________; provided, however, that Party A’s Collateral Threshold shall be zero if an Event of  Default or Potential Event of Default with respect to  Party A has occurred and is continuing.</w:t>
            </w:r>
          </w:p>
          <w:p>
            <w:pPr>
              <w:pStyle w:val="Normal"/>
              <w:spacing w:before="120" w:after="0"/>
              <w:ind w:start="702" w:end="1440"/>
              <w:rPr/>
            </w:pPr>
            <w:r>
              <w:rPr>
                <w:i/>
              </w:rPr>
              <w:t>Party A Independent Amount</w:t>
            </w:r>
            <w:r>
              <w:rPr/>
              <w:t>: $__________</w:t>
            </w:r>
          </w:p>
          <w:p>
            <w:pPr>
              <w:pStyle w:val="Footer"/>
              <w:tabs>
                <w:tab w:val="clear" w:pos="4320"/>
                <w:tab w:val="clear" w:pos="8640"/>
              </w:tabs>
              <w:spacing w:before="120" w:after="0"/>
              <w:ind w:start="702" w:end="1440"/>
              <w:rPr/>
            </w:pPr>
            <w:r>
              <w:rPr>
                <w:i/>
                <w:sz w:val="22"/>
              </w:rPr>
              <w:t>Party A Rounding Amount</w:t>
            </w:r>
            <w:r>
              <w:rPr>
                <w:sz w:val="22"/>
              </w:rPr>
              <w:t>:     $__________</w:t>
            </w:r>
          </w:p>
          <w:p>
            <w:pPr>
              <w:pStyle w:val="Normal"/>
              <w:spacing w:before="120" w:after="0"/>
              <w:ind w:end="1440"/>
              <w:rPr/>
            </w:pPr>
            <w:r>
              <w:rPr/>
              <w:tab/>
            </w:r>
            <w:r>
              <w:rPr>
                <w:b/>
              </w:rPr>
              <w:t>(d)  Downgrade Event:</w:t>
            </w:r>
          </w:p>
          <w:p>
            <w:pPr>
              <w:pStyle w:val="Normal"/>
              <w:spacing w:before="120" w:after="0"/>
              <w:ind w:end="1440"/>
              <w:rPr/>
            </w:pPr>
            <w:r>
              <w:rPr/>
              <w:tab/>
              <w:tab/>
            </w:r>
            <w:r>
              <w:rPr>
                <w:rFonts w:cs="WP TypographicSymbols" w:ascii="WP TypographicSymbols" w:hAnsi="WP TypographicSymbols"/>
              </w:rPr>
              <w:t></w:t>
            </w:r>
            <w:r>
              <w:rPr/>
              <w:t xml:space="preserve"> Not Applicable</w:t>
            </w:r>
          </w:p>
          <w:p>
            <w:pPr>
              <w:pStyle w:val="Normal"/>
              <w:ind w:end="1440"/>
              <w:rPr/>
            </w:pPr>
            <w:r>
              <w:rPr/>
              <w:tab/>
              <w:tab/>
            </w:r>
            <w:r>
              <w:rPr>
                <w:rFonts w:cs="WP TypographicSymbols" w:ascii="WP TypographicSymbols" w:hAnsi="WP TypographicSymbols"/>
              </w:rPr>
              <w:t></w:t>
            </w:r>
            <w:r>
              <w:rPr/>
              <w:t xml:space="preserve"> Applicable</w:t>
            </w:r>
          </w:p>
          <w:p>
            <w:pPr>
              <w:pStyle w:val="Normal"/>
              <w:spacing w:before="120" w:after="0"/>
              <w:ind w:end="1440"/>
              <w:rPr>
                <w:b/>
              </w:rPr>
            </w:pPr>
            <w:r>
              <w:rPr>
                <w:b/>
              </w:rPr>
              <w:t>If applicable, complete the following:</w:t>
            </w:r>
          </w:p>
          <w:p>
            <w:pPr>
              <w:pStyle w:val="Normal"/>
              <w:spacing w:before="120" w:after="0"/>
              <w:ind w:hanging="360" w:start="1062" w:end="1440"/>
              <w:rPr/>
            </w:pPr>
            <w:r>
              <w:rPr>
                <w:rFonts w:cs="WP TypographicSymbols" w:ascii="WP TypographicSymbols" w:hAnsi="WP TypographicSymbols"/>
              </w:rPr>
              <w:t></w:t>
            </w:r>
            <w:r>
              <w:rPr/>
              <w:tab/>
              <w:t>It shall be a Downgrade Event for Party A if Party A’s Credit Rating falls below __________ from S&amp;P or  __________ from Moody’s or if  Party A is not rated  by either S&amp;P or Moody’s</w:t>
            </w:r>
          </w:p>
          <w:p>
            <w:pPr>
              <w:pStyle w:val="Normal"/>
              <w:spacing w:before="120" w:after="0"/>
              <w:ind w:hanging="360" w:start="1062" w:end="1440"/>
              <w:rPr/>
            </w:pPr>
            <w:r>
              <w:rPr>
                <w:rFonts w:cs="WP TypographicSymbols" w:ascii="WP TypographicSymbols" w:hAnsi="WP TypographicSymbols"/>
              </w:rPr>
              <w:t></w:t>
            </w:r>
            <w:r>
              <w:rPr/>
              <w:tab/>
              <w:t xml:space="preserve">Other: </w:t>
            </w:r>
          </w:p>
          <w:p>
            <w:pPr>
              <w:pStyle w:val="Footer"/>
              <w:tabs>
                <w:tab w:val="clear" w:pos="4320"/>
                <w:tab w:val="clear" w:pos="8640"/>
              </w:tabs>
              <w:spacing w:before="120" w:after="0"/>
              <w:ind w:hanging="360" w:start="1062" w:end="1440"/>
              <w:rPr>
                <w:sz w:val="22"/>
              </w:rPr>
            </w:pPr>
            <w:r>
              <w:rPr>
                <w:sz w:val="22"/>
              </w:rPr>
              <w:tab/>
              <w:t>Specify: ________________________________</w:t>
            </w:r>
          </w:p>
          <w:p>
            <w:pPr>
              <w:pStyle w:val="Normal"/>
              <w:rPr>
                <w:b/>
                <w:sz w:val="22"/>
                <w:u w:val="single"/>
              </w:rPr>
            </w:pPr>
            <w:r>
              <w:rPr>
                <w:b/>
                <w:sz w:val="22"/>
                <w:u w:val="single"/>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/mnt/main-storage/datasets/enron-docs/doc/eeicredit.doc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pPr>
    <w:rPr>
      <w:b/>
      <w:sz w:val="24"/>
    </w:rPr>
  </w:style>
  <w:style w:type="paragraph" w:styleId="Heading6">
    <w:name w:val="heading 6"/>
    <w:basedOn w:val="Normal"/>
    <w:next w:val="Normal"/>
    <w:qFormat/>
    <w:pPr>
      <w:keepNext w:val="true"/>
      <w:widowControl w:val="false"/>
      <w:numPr>
        <w:ilvl w:val="5"/>
        <w:numId w:val="1"/>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start"/>
      <w:outlineLvl w:val="5"/>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0"/>
    </w:rPr>
  </w:style>
  <w:style w:type="paragraph" w:styleId="CommentText">
    <w:name w:val="Comment Text"/>
    <w:basedOn w:val="Normal"/>
    <w:qFormat/>
    <w:pPr>
      <w:widowControl w:val="false"/>
      <w:jc w:val="start"/>
    </w:pPr>
    <w:rPr>
      <w:sz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2000-02-22T20:01:00Z</dcterms:created>
  <dc:creator>esager</dc:creator>
  <dc:description/>
  <dc:language>en-CA</dc:language>
  <cp:lastModifiedBy>Brenda Whitehead</cp:lastModifiedBy>
  <cp:lastPrinted>2000-02-24T12:16:00Z</cp:lastPrinted>
  <dcterms:modified xsi:type="dcterms:W3CDTF">2000-02-24T15:46:00Z</dcterms:modified>
  <cp:revision>9</cp:revision>
  <dc:subject/>
  <dc:title/>
</cp:coreProperties>
</file>