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0"/>
        <w:jc w:val="center"/>
        <w:rPr>
          <w:b/>
          <w:sz w:val="28"/>
          <w:u w:val="single"/>
        </w:rPr>
      </w:pPr>
      <w:r>
        <w:rPr>
          <w:b/>
          <w:sz w:val="28"/>
          <w:u w:val="single"/>
        </w:rPr>
        <w:t>STRAWMAN:  Possible Energy Standards Organization Structure</w:t>
      </w:r>
    </w:p>
    <w:p>
      <w:pPr>
        <w:pStyle w:val="Normal"/>
        <w:rPr>
          <w:b/>
          <w:sz w:val="28"/>
          <w:u w:val="single"/>
        </w:rPr>
      </w:pPr>
      <w:r>
        <w:rPr>
          <w:b/>
          <w:sz w:val="28"/>
          <w:u w:val="single"/>
        </w:rPr>
      </w:r>
    </w:p>
    <w:p>
      <w:pPr>
        <w:pStyle w:val="Normal"/>
        <w:spacing w:before="100" w:after="120"/>
        <w:rPr/>
      </w:pPr>
      <w:r>
        <w:rPr>
          <w:b/>
        </w:rPr>
        <w:t xml:space="preserve">Industry Segments – </w:t>
      </w:r>
      <w:r>
        <w:rPr/>
        <w:t>The industry segments could be defined as follows:</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8" w:space="0" w:color="000000"/>
              <w:bottom w:val="single" w:sz="8" w:space="0" w:color="000000"/>
            </w:tcBorders>
          </w:tcPr>
          <w:p>
            <w:pPr>
              <w:pStyle w:val="Normal"/>
              <w:widowControl w:val="false"/>
              <w:bidi w:val="0"/>
              <w:spacing w:before="100" w:after="0"/>
              <w:rPr/>
            </w:pPr>
            <w:r>
              <w:rPr/>
              <w:t>Electricity Segments</w:t>
            </w:r>
          </w:p>
        </w:tc>
        <w:tc>
          <w:tcPr>
            <w:tcW w:w="4788" w:type="dxa"/>
            <w:tcBorders>
              <w:top w:val="single" w:sz="8" w:space="0" w:color="000000"/>
              <w:bottom w:val="single" w:sz="8" w:space="0" w:color="000000"/>
            </w:tcBorders>
          </w:tcPr>
          <w:p>
            <w:pPr>
              <w:pStyle w:val="Normal"/>
              <w:widowControl w:val="false"/>
              <w:bidi w:val="0"/>
              <w:spacing w:before="100" w:after="0"/>
              <w:rPr/>
            </w:pPr>
            <w:r>
              <w:rPr/>
              <w:t>Natural Gas Segments</w:t>
            </w:r>
          </w:p>
        </w:tc>
      </w:tr>
      <w:tr>
        <w:trPr/>
        <w:tc>
          <w:tcPr>
            <w:tcW w:w="4788" w:type="dxa"/>
            <w:tcBorders/>
          </w:tcPr>
          <w:p>
            <w:pPr>
              <w:pStyle w:val="Normal"/>
              <w:numPr>
                <w:ilvl w:val="0"/>
                <w:numId w:val="4"/>
              </w:numPr>
              <w:spacing w:before="100" w:after="0"/>
              <w:rPr/>
            </w:pPr>
            <w:r>
              <w:rPr/>
              <w:t>Electric Generators</w:t>
            </w:r>
          </w:p>
        </w:tc>
        <w:tc>
          <w:tcPr>
            <w:tcW w:w="4788" w:type="dxa"/>
            <w:tcBorders/>
          </w:tcPr>
          <w:p>
            <w:pPr>
              <w:pStyle w:val="Normal"/>
              <w:numPr>
                <w:ilvl w:val="0"/>
                <w:numId w:val="11"/>
              </w:numPr>
              <w:spacing w:before="100" w:after="0"/>
              <w:rPr/>
            </w:pPr>
            <w:r>
              <w:rPr/>
              <w:t>Natural Gas Producers</w:t>
            </w:r>
          </w:p>
        </w:tc>
      </w:tr>
      <w:tr>
        <w:trPr/>
        <w:tc>
          <w:tcPr>
            <w:tcW w:w="4788" w:type="dxa"/>
            <w:tcBorders/>
          </w:tcPr>
          <w:p>
            <w:pPr>
              <w:pStyle w:val="Normal"/>
              <w:numPr>
                <w:ilvl w:val="0"/>
                <w:numId w:val="10"/>
              </w:numPr>
              <w:spacing w:before="100" w:after="0"/>
              <w:rPr/>
            </w:pPr>
            <w:r>
              <w:rPr/>
              <w:t>Electric Transmission Owners</w:t>
            </w:r>
          </w:p>
        </w:tc>
        <w:tc>
          <w:tcPr>
            <w:tcW w:w="4788" w:type="dxa"/>
            <w:tcBorders/>
          </w:tcPr>
          <w:p>
            <w:pPr>
              <w:pStyle w:val="Normal"/>
              <w:numPr>
                <w:ilvl w:val="0"/>
                <w:numId w:val="9"/>
              </w:numPr>
              <w:spacing w:before="100" w:after="0"/>
              <w:rPr/>
            </w:pPr>
            <w:r>
              <w:rPr/>
              <w:t>Natural Gas Pipelines</w:t>
            </w:r>
          </w:p>
        </w:tc>
      </w:tr>
      <w:tr>
        <w:trPr/>
        <w:tc>
          <w:tcPr>
            <w:tcW w:w="4788" w:type="dxa"/>
            <w:tcBorders/>
          </w:tcPr>
          <w:p>
            <w:pPr>
              <w:pStyle w:val="Normal"/>
              <w:numPr>
                <w:ilvl w:val="0"/>
                <w:numId w:val="2"/>
              </w:numPr>
              <w:spacing w:before="100" w:after="0"/>
              <w:rPr/>
            </w:pPr>
            <w:r>
              <w:rPr/>
              <w:t>Electric Distribution Utilities</w:t>
            </w:r>
          </w:p>
        </w:tc>
        <w:tc>
          <w:tcPr>
            <w:tcW w:w="4788" w:type="dxa"/>
            <w:tcBorders/>
          </w:tcPr>
          <w:p>
            <w:pPr>
              <w:pStyle w:val="Normal"/>
              <w:numPr>
                <w:ilvl w:val="0"/>
                <w:numId w:val="6"/>
              </w:numPr>
              <w:spacing w:before="100" w:after="0"/>
              <w:rPr/>
            </w:pPr>
            <w:r>
              <w:rPr/>
              <w:t>Natural Gas Distribution Utilities</w:t>
            </w:r>
          </w:p>
        </w:tc>
      </w:tr>
      <w:tr>
        <w:trPr/>
        <w:tc>
          <w:tcPr>
            <w:tcW w:w="4788" w:type="dxa"/>
            <w:tcBorders/>
          </w:tcPr>
          <w:p>
            <w:pPr>
              <w:pStyle w:val="Normal"/>
              <w:numPr>
                <w:ilvl w:val="0"/>
                <w:numId w:val="8"/>
              </w:numPr>
              <w:spacing w:before="100" w:after="0"/>
              <w:rPr/>
            </w:pPr>
            <w:r>
              <w:rPr/>
              <w:t>Electricity End Users</w:t>
            </w:r>
          </w:p>
        </w:tc>
        <w:tc>
          <w:tcPr>
            <w:tcW w:w="4788" w:type="dxa"/>
            <w:tcBorders/>
          </w:tcPr>
          <w:p>
            <w:pPr>
              <w:pStyle w:val="Normal"/>
              <w:numPr>
                <w:ilvl w:val="0"/>
                <w:numId w:val="13"/>
              </w:numPr>
              <w:spacing w:before="100" w:after="0"/>
              <w:rPr/>
            </w:pPr>
            <w:r>
              <w:rPr/>
              <w:t>Natural Gas End Users</w:t>
            </w:r>
          </w:p>
        </w:tc>
      </w:tr>
      <w:tr>
        <w:trPr/>
        <w:tc>
          <w:tcPr>
            <w:tcW w:w="4788" w:type="dxa"/>
            <w:tcBorders>
              <w:bottom w:val="single" w:sz="8" w:space="0" w:color="000000"/>
            </w:tcBorders>
          </w:tcPr>
          <w:p>
            <w:pPr>
              <w:pStyle w:val="Normal"/>
              <w:numPr>
                <w:ilvl w:val="0"/>
                <w:numId w:val="12"/>
              </w:numPr>
              <w:spacing w:before="100" w:after="0"/>
              <w:rPr/>
            </w:pPr>
            <w:r>
              <w:rPr/>
              <w:t>Electricity Service Providers (including marketers)</w:t>
            </w:r>
          </w:p>
        </w:tc>
        <w:tc>
          <w:tcPr>
            <w:tcW w:w="4788" w:type="dxa"/>
            <w:tcBorders>
              <w:bottom w:val="single" w:sz="8" w:space="0" w:color="000000"/>
            </w:tcBorders>
          </w:tcPr>
          <w:p>
            <w:pPr>
              <w:pStyle w:val="Normal"/>
              <w:numPr>
                <w:ilvl w:val="0"/>
                <w:numId w:val="3"/>
              </w:numPr>
              <w:spacing w:before="100" w:after="0"/>
              <w:rPr/>
            </w:pPr>
            <w:r>
              <w:rPr/>
              <w:t>Natural Gas Service Providers (including marketers)</w:t>
            </w:r>
          </w:p>
        </w:tc>
      </w:tr>
    </w:tbl>
    <w:p>
      <w:pPr>
        <w:pStyle w:val="Normal"/>
        <w:rPr/>
      </w:pPr>
      <w:r>
        <w:rPr/>
        <w:t xml:space="preserve">There should be equal number of industry segments for both natural gas and electricity to balance the interests.  </w:t>
      </w:r>
    </w:p>
    <w:p>
      <w:pPr>
        <w:pStyle w:val="Normal"/>
        <w:jc w:val="both"/>
        <w:rPr/>
      </w:pPr>
      <w:r>
        <w:rPr>
          <w:b/>
        </w:rPr>
        <w:t xml:space="preserve">Membership  --  </w:t>
      </w:r>
      <w:r>
        <w:rPr/>
        <w:t>Membership is at the corporate, not individual level.  Members are companies participating in the natural gas or electricity markets.  Trade associations, advocacy groups and special interest groups are not considered members.  When joining, members declare which segment they represent.  Companies can join multiple segments.  Members do not</w:t>
      </w:r>
      <w:r>
        <w:rPr>
          <w:b/>
        </w:rPr>
        <w:t xml:space="preserve"> </w:t>
      </w:r>
      <w:r>
        <w:rPr/>
        <w:t>extend their membership to affiliates or subsidiaries; the affiliates and subsidiaries join separately.  Members vote to ratify governance changes approved by the Board of Directors and proposed standards approved by the Executive Committee.</w:t>
      </w:r>
    </w:p>
    <w:p>
      <w:pPr>
        <w:pStyle w:val="Normal"/>
        <w:jc w:val="both"/>
        <w:rPr/>
      </w:pPr>
      <w:r>
        <w:rPr>
          <w:b/>
        </w:rPr>
        <w:t xml:space="preserve">Board of Directors – </w:t>
      </w:r>
      <w:r>
        <w:rPr/>
        <w:t>The Board of Directors would be responsible for funding, annual plan definition and approval, changes to the governance document and structure, and overall direction of the organization.  It could be composed of five members from each of the ten segments.  Each segment on the Board has equal number of votes.  Agents for member companies are not permitted to be Board members.  Board members should be members of good standing in the standards organization.  The Board is the determining body for scope and other governance issues. The Board should require a supermajority to adopt governance changes.   The Board will create subcommittees as needed to carry out its directives.  Each segment would determine, through a decision of the industry organization's members within that  segment, who would serve on the Board.</w:t>
      </w:r>
    </w:p>
    <w:p>
      <w:pPr>
        <w:pStyle w:val="Normal"/>
        <w:jc w:val="both"/>
        <w:rPr/>
      </w:pPr>
      <w:r>
        <w:rPr>
          <w:b/>
        </w:rPr>
        <w:t xml:space="preserve">Executive Committee – </w:t>
      </w:r>
      <w:r>
        <w:rPr/>
        <w:t>The Executive Committee is responsible for carrying out the annual plan, which described the areas for standards development.  The Executive Committee votes on the recommended standards, which result from subcommittee efforts.  The Executive Committee would be in two parts, an electricity part and a natural gas part, with the applicable segments defined above. The segments have equal voting rights. Executive Committee members should be members of good standing in the standards organization.  The Executive Committee is the determining body for standards issues. The Executive Committee should require supermajority to adopt standards.  The Executive Committee will create subcommittees as needed to carry out its directives. Each segment would determine, through a decision of the industry organization's members within that segment, who would serve on the Executive Committee.</w:t>
      </w:r>
    </w:p>
    <w:p>
      <w:pPr>
        <w:pStyle w:val="Normal"/>
        <w:jc w:val="both"/>
        <w:rPr/>
      </w:pPr>
      <w:r>
        <w:rPr/>
        <w:t>For standards issues that are applicable to both electricity and natural gas, representatives from the Executive Committee from each segment will be chosen by the representative segments to act jointly on those issues.  A supermajority would be required to adopt standards.</w:t>
      </w:r>
    </w:p>
    <w:p>
      <w:pPr>
        <w:pStyle w:val="Normal"/>
        <w:rPr/>
      </w:pPr>
      <w:r>
        <w:rPr>
          <w:b/>
        </w:rPr>
        <w:t xml:space="preserve">Advisory Committee – </w:t>
      </w:r>
      <w:r>
        <w:rPr/>
        <w:t xml:space="preserve">The Advisory Committee is composed of interested regulators and other government officials.  It advises the Board on the annual plan and direction of the organization. </w:t>
      </w:r>
    </w:p>
    <w:p>
      <w:pPr>
        <w:pStyle w:val="Normal"/>
        <w:jc w:val="both"/>
        <w:rPr/>
      </w:pPr>
      <w:r>
        <w:rPr>
          <w:b/>
        </w:rPr>
        <w:t xml:space="preserve">Interested Public – </w:t>
      </w:r>
      <w:r>
        <w:rPr/>
        <w:t>Nonmembers can participate in any subcommittee or task force and attend the Board and Executive Committee meetings.  They are asked to comment on all proposed standards prior to consideration by the Executive Committee.</w:t>
      </w:r>
    </w:p>
    <w:sectPr>
      <w:footerReference w:type="default" r:id="rId2"/>
      <w:type w:val="nextPage"/>
      <w:pgSz w:w="12240" w:h="15840"/>
      <w:pgMar w:left="1440" w:right="1440"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Brush Script">
    <w:altName w:val="Courier New"/>
    <w:charset w:val="00" w:characterSet="windows-1252"/>
    <w:family w:val="script"/>
    <w:pitch w:val="variable"/>
  </w:font>
  <w:font w:name="CG Times">
    <w:charset w:val="00" w:characterSet="windows-1252"/>
    <w:family w:val="roman"/>
    <w:pitch w:val="variable"/>
  </w:font>
  <w:font w:name="Wingdings">
    <w:charset w:val="02"/>
    <w:family w:val="auto"/>
    <w:pitch w:val="variable"/>
  </w:font>
  <w:font w:name="Helvetica">
    <w:altName w:val="Arial"/>
    <w:charset w:val="00" w:characterSet="windows-1252"/>
    <w:family w:val="swiss"/>
    <w:pitch w:val="variable"/>
  </w:font>
  <w:font w:name="Arial Narrow">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00" w:after="0"/>
      <w:jc w:val="end"/>
      <w:rPr/>
    </w:pPr>
    <w:r>
      <w:rPr/>
      <w:t>____________________________________________________________________________________________</w:t>
    </w:r>
  </w:p>
  <w:p>
    <w:pPr>
      <w:pStyle w:val="Footer"/>
      <w:widowControl/>
      <w:spacing w:before="0" w:after="0"/>
      <w:jc w:val="end"/>
      <w:rPr>
        <w:sz w:val="18"/>
      </w:rPr>
    </w:pPr>
    <w:r>
      <w:rPr>
        <w:sz w:val="18"/>
      </w:rPr>
      <w:t>May 17, 2000</w:t>
    </w:r>
  </w:p>
  <w:p>
    <w:pPr>
      <w:pStyle w:val="Footer"/>
      <w:widowControl/>
      <w:spacing w:before="0" w:after="0"/>
      <w:jc w:val="end"/>
      <w:rPr/>
    </w:pPr>
    <w:r>
      <w:rPr>
        <w:sz w:val="18"/>
      </w:rPr>
      <w:t xml:space="preserve">Page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 </w:t>
    </w:r>
    <w:r>
      <w:rPr>
        <w:sz w:val="18"/>
      </w:rPr>
      <w:fldChar w:fldCharType="begin"/>
    </w:r>
    <w:r>
      <w:rPr>
        <w:sz w:val="18"/>
      </w:rPr>
      <w:instrText xml:space="preserve"> NUMPAGES \* ARABIC </w:instrText>
    </w:r>
    <w:r>
      <w:rPr>
        <w:sz w:val="18"/>
      </w:rPr>
      <w:fldChar w:fldCharType="separate"/>
    </w:r>
    <w:r>
      <w:rPr>
        <w:sz w:val="18"/>
      </w:rPr>
      <w:t>1</w:t>
    </w:r>
    <w:r>
      <w:rP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3"/>
      <w:numFmt w:val="upp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abstractNum w:abstractNumId="13">
    <w:lvl w:ilvl="0">
      <w:start w:val="1"/>
      <w:numFmt w:val="bullet"/>
      <w:lvlText w:val=""/>
      <w:lvlJc w:val="start"/>
      <w:pPr>
        <w:tabs>
          <w:tab w:val="num" w:pos="360"/>
        </w:tabs>
        <w:ind w:start="360" w:hanging="360"/>
      </w:pPr>
      <w:rPr>
        <w:rFonts w:ascii="Symbol" w:hAnsi="Symbol" w:cs="Symbol" w:hint="default"/>
        <w:color w:val="auto"/>
      </w:rPr>
    </w:lvl>
  </w:abstractNum>
  <w:abstractNum w:abstractNumId="14">
    <w:lvl w:ilvl="0">
      <w:start w:val="1"/>
      <w:numFmt w:val="upperRoman"/>
      <w:lvlText w:val="%1."/>
      <w:lvlJc w:val="center"/>
      <w:pPr>
        <w:tabs>
          <w:tab w:val="num" w:pos="360"/>
        </w:tabs>
        <w:ind w:start="0" w:hanging="0"/>
      </w:pPr>
      <w:rPr>
        <w:caps/>
        <w:sz w:val="27"/>
        <w:i w:val="false"/>
        <w:b/>
        <w:rFonts w:ascii="CG Times" w:hAnsi="CG Times" w:cs="CG Times"/>
      </w:rPr>
    </w:lvl>
    <w:lvl w:ilvl="1">
      <w:start w:val="1"/>
      <w:numFmt w:val="upperLetter"/>
      <w:lvlText w:val="%2."/>
      <w:lvlJc w:val="start"/>
      <w:pPr>
        <w:tabs>
          <w:tab w:val="num" w:pos="1080"/>
        </w:tabs>
        <w:ind w:start="0" w:firstLine="720"/>
      </w:pPr>
      <w:rPr>
        <w:sz w:val="25"/>
        <w:i w:val="false"/>
        <w:b/>
        <w:rFonts w:ascii="CG Times" w:hAnsi="CG Times" w:cs="CG Times"/>
      </w:rPr>
    </w:lvl>
    <w:lvl w:ilvl="2">
      <w:start w:val="1"/>
      <w:numFmt w:val="decimal"/>
      <w:lvlText w:val="%3."/>
      <w:lvlJc w:val="start"/>
      <w:pPr>
        <w:tabs>
          <w:tab w:val="num" w:pos="1800"/>
        </w:tabs>
        <w:ind w:start="0" w:firstLine="1440"/>
      </w:pPr>
      <w:rPr>
        <w:sz w:val="25"/>
        <w:i w:val="false"/>
        <w:b/>
        <w:rFonts w:ascii="CG Times" w:hAnsi="CG Times" w:cs="CG Times"/>
      </w:rPr>
    </w:lvl>
    <w:lvl w:ilvl="3">
      <w:start w:val="1"/>
      <w:numFmt w:val="lowerLetter"/>
      <w:lvlText w:val="%4."/>
      <w:lvlJc w:val="start"/>
      <w:pPr>
        <w:tabs>
          <w:tab w:val="num" w:pos="2520"/>
        </w:tabs>
        <w:ind w:start="0" w:firstLine="2160"/>
      </w:pPr>
      <w:rPr>
        <w:sz w:val="25"/>
        <w:i w:val="false"/>
        <w:b/>
        <w:rFonts w:ascii="CG Times" w:hAnsi="CG Times" w:cs="CG Times"/>
      </w:rPr>
    </w:lvl>
    <w:lvl w:ilvl="4">
      <w:start w:val="1"/>
      <w:numFmt w:val="decimal"/>
      <w:lvlText w:val="(%5)"/>
      <w:lvlJc w:val="start"/>
      <w:pPr>
        <w:tabs>
          <w:tab w:val="num" w:pos="3240"/>
        </w:tabs>
        <w:ind w:start="0" w:firstLine="2880"/>
      </w:pPr>
      <w:rPr>
        <w:sz w:val="25"/>
        <w:i w:val="false"/>
        <w:b/>
        <w:rFonts w:ascii="CG Times" w:hAnsi="CG Times" w:cs="CG Times"/>
      </w:r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0"/>
      <w:numFmt w:val="lowerRoman"/>
      <w:lvlText w:val="(%9)"/>
      <w:lvlJc w:val="start"/>
      <w:pPr>
        <w:tabs>
          <w:tab w:val="num" w:pos="6120"/>
        </w:tabs>
        <w:ind w:start="576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0"/>
    </w:pPr>
    <w:rPr>
      <w:rFonts w:ascii="Bookman Old Style" w:hAnsi="Bookman Old Style" w:eastAsia="Times New Roman" w:cs="Bookman Old Style"/>
      <w:color w:val="auto"/>
      <w:sz w:val="20"/>
      <w:szCs w:val="20"/>
      <w:lang w:val="en-US" w:eastAsia="en-US" w:bidi="hi-IN"/>
    </w:rPr>
  </w:style>
  <w:style w:type="paragraph" w:styleId="Heading1">
    <w:name w:val="heading 1"/>
    <w:basedOn w:val="Normal"/>
    <w:next w:val="Normal"/>
    <w:qFormat/>
    <w:pPr>
      <w:keepNext w:val="true"/>
      <w:widowControl/>
      <w:numPr>
        <w:ilvl w:val="0"/>
        <w:numId w:val="1"/>
      </w:numPr>
      <w:outlineLvl w:val="0"/>
    </w:pPr>
    <w:rPr>
      <w:b/>
    </w:rPr>
  </w:style>
  <w:style w:type="paragraph" w:styleId="Heading2">
    <w:name w:val="heading 2"/>
    <w:basedOn w:val="Normal"/>
    <w:next w:val="Normal"/>
    <w:qFormat/>
    <w:pPr>
      <w:keepNext w:val="true"/>
      <w:widowControl/>
      <w:numPr>
        <w:ilvl w:val="1"/>
        <w:numId w:val="1"/>
      </w:numPr>
      <w:tabs>
        <w:tab w:val="left" w:pos="-720" w:leader="none"/>
        <w:tab w:val="left" w:pos="0" w:leader="none"/>
        <w:tab w:val="left" w:pos="720" w:leader="none"/>
      </w:tabs>
      <w:suppressAutoHyphens w:val="true"/>
      <w:spacing w:before="0" w:after="0"/>
      <w:ind w:hanging="1440" w:start="2880" w:end="0"/>
      <w:outlineLvl w:val="1"/>
    </w:pPr>
    <w:rPr>
      <w:rFonts w:ascii="Times New Roman" w:hAnsi="Times New Roman" w:cs="Times New Roman"/>
      <w:spacing w:val="-3"/>
      <w:sz w:val="24"/>
      <w:lang w:eastAsia="en-CA"/>
    </w:rPr>
  </w:style>
  <w:style w:type="paragraph" w:styleId="Heading3">
    <w:name w:val="heading 3"/>
    <w:basedOn w:val="Normal"/>
    <w:next w:val="Normal"/>
    <w:qFormat/>
    <w:pPr>
      <w:keepNext w:val="true"/>
      <w:numPr>
        <w:ilvl w:val="2"/>
        <w:numId w:val="1"/>
      </w:numPr>
      <w:jc w:val="center"/>
      <w:outlineLvl w:val="2"/>
    </w:pPr>
    <w:rPr>
      <w:b/>
      <w:u w:val="single"/>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ind w:firstLine="720" w:start="0" w:end="0"/>
      <w:jc w:val="center"/>
      <w:outlineLvl w:val="4"/>
    </w:pPr>
    <w:rPr>
      <w:rFonts w:ascii="Brush Script;Courier New" w:hAnsi="Brush Script;Courier New" w:cs="Brush Script;Courier New"/>
      <w:sz w:val="44"/>
    </w:rPr>
  </w:style>
  <w:style w:type="character" w:styleId="WW8Num1z0">
    <w:name w:val="WW8Num1z0"/>
    <w:qFormat/>
    <w:rPr>
      <w:rFonts w:ascii="CG Times" w:hAnsi="CG Times" w:cs="CG Times"/>
      <w:b/>
      <w:smallCaps/>
      <w:sz w:val="24"/>
    </w:rPr>
  </w:style>
  <w:style w:type="character" w:styleId="WW8Num1z1">
    <w:name w:val="WW8Num1z1"/>
    <w:qFormat/>
    <w:rPr>
      <w:rFonts w:ascii="CG Times" w:hAnsi="CG Times" w:cs="CG Times"/>
      <w:b/>
      <w:sz w:val="22"/>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color w:val="auto"/>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color w:val="auto"/>
    </w:rPr>
  </w:style>
  <w:style w:type="character" w:styleId="WW8Num40z0">
    <w:name w:val="WW8Num40z0"/>
    <w:qFormat/>
    <w:rPr>
      <w:rFonts w:ascii="Symbol" w:hAnsi="Symbol" w:cs="Symbol"/>
    </w:rPr>
  </w:style>
  <w:style w:type="character" w:styleId="WW8Num41z0">
    <w:name w:val="WW8Num41z0"/>
    <w:qFormat/>
    <w:rPr>
      <w:rFonts w:ascii="Symbol" w:hAnsi="Symbol" w:cs="Symbol"/>
      <w:color w:val="auto"/>
    </w:rPr>
  </w:style>
  <w:style w:type="character" w:styleId="WW8Num42z0">
    <w:name w:val="WW8Num42z0"/>
    <w:qFormat/>
    <w:rPr>
      <w:rFonts w:ascii="Symbol" w:hAnsi="Symbol" w:cs="Symbol"/>
      <w:color w:val="auto"/>
    </w:rPr>
  </w:style>
  <w:style w:type="character" w:styleId="WW8Num43z0">
    <w:name w:val="WW8Num43z0"/>
    <w:qFormat/>
    <w:rPr>
      <w:rFonts w:ascii="Symbol" w:hAnsi="Symbol" w:cs="Symbol"/>
      <w:color w:val="auto"/>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color w:val="auto"/>
    </w:rPr>
  </w:style>
  <w:style w:type="character" w:styleId="WW8Num48z0">
    <w:name w:val="WW8Num48z0"/>
    <w:qFormat/>
    <w:rPr>
      <w:rFonts w:ascii="Times New Roman" w:hAnsi="Times New Roman" w:cs="Times New Roman"/>
      <w:b/>
      <w:i w:val="false"/>
      <w:sz w:val="24"/>
      <w:u w:val="none"/>
    </w:rPr>
  </w:style>
  <w:style w:type="character" w:styleId="WW8Num49z0">
    <w:name w:val="WW8Num49z0"/>
    <w:qFormat/>
    <w:rPr>
      <w:rFonts w:ascii="Symbol" w:hAnsi="Symbol" w:cs="Symbol"/>
      <w:color w:val="auto"/>
    </w:rPr>
  </w:style>
  <w:style w:type="character" w:styleId="WW8Num50z0">
    <w:name w:val="WW8Num50z0"/>
    <w:qFormat/>
    <w:rPr>
      <w:rFonts w:ascii="Symbol" w:hAnsi="Symbol" w:cs="Symbol"/>
      <w:color w:val="auto"/>
    </w:rPr>
  </w:style>
  <w:style w:type="character" w:styleId="WW8Num51z0">
    <w:name w:val="WW8Num51z0"/>
    <w:qFormat/>
    <w:rPr>
      <w:rFonts w:ascii="Symbol" w:hAnsi="Symbol" w:cs="Symbol"/>
    </w:rPr>
  </w:style>
  <w:style w:type="character" w:styleId="WW8Num52z0">
    <w:name w:val="WW8Num52z0"/>
    <w:qFormat/>
    <w:rPr>
      <w:rFonts w:ascii="Symbol" w:hAnsi="Symbol" w:cs="Symbol"/>
      <w:color w:val="auto"/>
    </w:rPr>
  </w:style>
  <w:style w:type="character" w:styleId="WW8Num53z0">
    <w:name w:val="WW8Num53z0"/>
    <w:qFormat/>
    <w:rPr>
      <w:rFonts w:ascii="Symbol" w:hAnsi="Symbol" w:cs="Symbol"/>
      <w:color w:val="auto"/>
    </w:rPr>
  </w:style>
  <w:style w:type="character" w:styleId="WW8Num54z0">
    <w:name w:val="WW8Num54z0"/>
    <w:qFormat/>
    <w:rPr>
      <w:rFonts w:ascii="Symbol" w:hAnsi="Symbol" w:cs="Symbol"/>
      <w:color w:val="auto"/>
    </w:rPr>
  </w:style>
  <w:style w:type="character" w:styleId="WW8Num55z0">
    <w:name w:val="WW8Num55z0"/>
    <w:qFormat/>
    <w:rPr>
      <w:rFonts w:ascii="Wingdings" w:hAnsi="Wingdings" w:cs="Wingdings"/>
    </w:rPr>
  </w:style>
  <w:style w:type="character" w:styleId="WW8NumSt46z0">
    <w:name w:val="WW8NumSt46z0"/>
    <w:qFormat/>
    <w:rPr>
      <w:rFonts w:ascii="CG Times" w:hAnsi="CG Times" w:cs="CG Times"/>
      <w:b/>
      <w:i w:val="false"/>
      <w:caps/>
      <w:sz w:val="27"/>
    </w:rPr>
  </w:style>
  <w:style w:type="character" w:styleId="WW8NumSt46z1">
    <w:name w:val="WW8NumSt46z1"/>
    <w:qFormat/>
    <w:rPr>
      <w:rFonts w:ascii="CG Times" w:hAnsi="CG Times" w:cs="CG Times"/>
      <w:b/>
      <w:i w:val="false"/>
      <w:sz w:val="25"/>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before="0" w:after="0"/>
      <w:jc w:val="center"/>
    </w:pPr>
    <w:rPr>
      <w:rFonts w:ascii="Arial" w:hAnsi="Arial" w:cs="Arial"/>
      <w:b/>
      <w:sz w:val="24"/>
    </w:rPr>
  </w:style>
  <w:style w:type="paragraph" w:styleId="BodyText">
    <w:name w:val="Body Text"/>
    <w:basedOn w:val="Normal"/>
    <w:pPr>
      <w:widowControl/>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rFonts w:ascii="Arial" w:hAnsi="Arial" w:cs="Arial"/>
    </w:rPr>
  </w:style>
  <w:style w:type="paragraph" w:styleId="BodyTextIndent2">
    <w:name w:val="Body Text Indent 2"/>
    <w:basedOn w:val="Normal"/>
    <w:qFormat/>
    <w:pPr>
      <w:ind w:hanging="0" w:start="1440" w:end="0"/>
      <w:jc w:val="both"/>
    </w:pPr>
    <w:rPr>
      <w:rFonts w:ascii="Arial" w:hAnsi="Arial" w:cs="Arial"/>
    </w:rPr>
  </w:style>
  <w:style w:type="paragraph" w:styleId="BodyTextIndent3">
    <w:name w:val="Body Text Indent 3"/>
    <w:basedOn w:val="Normal"/>
    <w:qFormat/>
    <w:pPr>
      <w:widowControl/>
      <w:ind w:hanging="1440" w:start="1440" w:end="0"/>
    </w:pPr>
    <w:rPr>
      <w:rFonts w:ascii="Arial" w:hAnsi="Arial" w:cs="Arial"/>
    </w:rPr>
  </w:style>
  <w:style w:type="paragraph" w:styleId="TableFormat">
    <w:name w:val="Table Forma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898" w:leader="none"/>
        <w:tab w:val="left" w:pos="8628" w:leader="none"/>
      </w:tabs>
      <w:bidi w:val="0"/>
      <w:spacing w:lineRule="atLeast" w:line="240" w:before="120" w:after="0"/>
    </w:pPr>
    <w:rPr>
      <w:rFonts w:ascii="Bookman Old Style" w:hAnsi="Bookman Old Style" w:eastAsia="Times New Roman" w:cs="Bookman Old Style"/>
      <w:color w:val="000000"/>
      <w:sz w:val="18"/>
      <w:szCs w:val="20"/>
      <w:lang w:val="en-US" w:eastAsia="en-US" w:bidi="hi-IN"/>
    </w:rPr>
  </w:style>
  <w:style w:type="paragraph" w:styleId="BodySingle">
    <w:name w:val="Body Single"/>
    <w:qFormat/>
    <w:pPr>
      <w:widowControl w:val="false"/>
      <w:bidi w:val="0"/>
      <w:spacing w:before="72" w:after="0"/>
      <w:jc w:val="both"/>
    </w:pPr>
    <w:rPr>
      <w:rFonts w:ascii="Helvetica" w:hAnsi="Helvetica" w:eastAsia="Times New Roman" w:cs="Helvetica"/>
      <w:color w:val="000000"/>
      <w:sz w:val="20"/>
      <w:szCs w:val="20"/>
      <w:lang w:val="en-US" w:eastAsia="en-US" w:bidi="hi-IN"/>
    </w:rPr>
  </w:style>
  <w:style w:type="paragraph" w:styleId="FootnoteText">
    <w:name w:val="footnote text"/>
    <w:basedOn w:val="Normal"/>
    <w:pPr/>
    <w:rPr/>
  </w:style>
  <w:style w:type="paragraph" w:styleId="TableText">
    <w:name w:val="Table Text"/>
    <w:qFormat/>
    <w:pPr>
      <w:widowControl/>
      <w:bidi w:val="0"/>
    </w:pPr>
    <w:rPr>
      <w:rFonts w:ascii="Arial Narrow" w:hAnsi="Arial Narrow" w:eastAsia="Times New Roman" w:cs="Arial Narrow"/>
      <w:color w:val="000000"/>
      <w:sz w:val="24"/>
      <w:szCs w:val="20"/>
      <w:lang w:val="en-US" w:eastAsia="en-US" w:bidi="hi-IN"/>
    </w:rPr>
  </w:style>
  <w:style w:type="paragraph" w:styleId="MWhang3">
    <w:name w:val="MWhang3"/>
    <w:basedOn w:val="Normal"/>
    <w:qFormat/>
    <w:pPr>
      <w:widowControl/>
      <w:suppressAutoHyphens w:val="true"/>
      <w:spacing w:before="0" w:after="240"/>
      <w:ind w:hanging="720" w:start="2160" w:end="0"/>
    </w:pPr>
    <w:rPr>
      <w:rFonts w:ascii="Times New Roman" w:hAnsi="Times New Roman" w:cs="Times New Roman"/>
      <w:sz w:val="24"/>
      <w:lang w:eastAsia="en-CA"/>
    </w:rPr>
  </w:style>
  <w:style w:type="paragraph" w:styleId="MWNum13j">
    <w:name w:val="MWNum13j"/>
    <w:basedOn w:val="Normal"/>
    <w:qFormat/>
    <w:pPr>
      <w:widowControl/>
      <w:numPr>
        <w:ilvl w:val="0"/>
        <w:numId w:val="7"/>
      </w:numPr>
      <w:tabs>
        <w:tab w:val="clear" w:pos="720"/>
      </w:tabs>
      <w:spacing w:before="0" w:after="240"/>
      <w:jc w:val="both"/>
    </w:pPr>
    <w:rPr>
      <w:rFonts w:ascii="Times New Roman" w:hAnsi="Times New Roman" w:cs="Times New Roman"/>
      <w:sz w:val="24"/>
      <w:lang w:eastAsia="en-CA"/>
    </w:rPr>
  </w:style>
  <w:style w:type="paragraph" w:styleId="PlainText">
    <w:name w:val="Plain Text"/>
    <w:basedOn w:val="Normal"/>
    <w:qFormat/>
    <w:pPr>
      <w:widowControl/>
      <w:spacing w:before="0" w:after="0"/>
    </w:pPr>
    <w:rPr>
      <w:rFonts w:ascii="Courier New" w:hAnsi="Courier New" w:cs="Courier New"/>
      <w:lang w:eastAsia="en-CA"/>
    </w:rPr>
  </w:style>
  <w:style w:type="paragraph" w:styleId="Level2">
    <w:name w:val="Level 2"/>
    <w:basedOn w:val="Normal"/>
    <w:qFormat/>
    <w:pPr>
      <w:widowControl/>
      <w:numPr>
        <w:ilvl w:val="0"/>
        <w:numId w:val="5"/>
      </w:numPr>
      <w:tabs>
        <w:tab w:val="clear" w:pos="720"/>
        <w:tab w:val="left" w:pos="360" w:leader="none"/>
      </w:tabs>
      <w:spacing w:before="0" w:after="0"/>
      <w:ind w:hanging="0" w:start="0" w:end="0"/>
      <w:outlineLvl w:val="1"/>
    </w:pPr>
    <w:rPr>
      <w:rFonts w:ascii="Times New Roman" w:hAnsi="Times New Roman" w:cs="Times New Roman"/>
      <w:sz w:val="24"/>
      <w:lang w:eastAsia="en-CA"/>
    </w:rPr>
  </w:style>
  <w:style w:type="paragraph" w:styleId="Level3">
    <w:name w:val="Level 3"/>
    <w:basedOn w:val="Normal"/>
    <w:qFormat/>
    <w:pPr>
      <w:widowControl/>
      <w:numPr>
        <w:ilvl w:val="0"/>
        <w:numId w:val="5"/>
      </w:numPr>
      <w:tabs>
        <w:tab w:val="clear" w:pos="720"/>
        <w:tab w:val="left" w:pos="360" w:leader="none"/>
      </w:tabs>
      <w:spacing w:before="0" w:after="0"/>
      <w:ind w:hanging="0" w:start="0" w:end="0"/>
      <w:outlineLvl w:val="2"/>
    </w:pPr>
    <w:rPr>
      <w:rFonts w:ascii="Times New Roman" w:hAnsi="Times New Roman" w:cs="Times New Roman"/>
      <w:sz w:val="24"/>
      <w:lang w:eastAsia="en-CA"/>
    </w:rPr>
  </w:style>
  <w:style w:type="paragraph" w:styleId="MWbl">
    <w:name w:val="MWbl"/>
    <w:basedOn w:val="Normal"/>
    <w:qFormat/>
    <w:pPr>
      <w:widowControl/>
      <w:suppressAutoHyphens w:val="true"/>
      <w:spacing w:before="0" w:after="240"/>
    </w:pPr>
    <w:rPr>
      <w:rFonts w:ascii="Times New Roman" w:hAnsi="Times New Roman" w:cs="Times New Roman"/>
      <w:sz w:val="24"/>
      <w:lang w:eastAsia="en-CA"/>
    </w:rPr>
  </w:style>
  <w:style w:type="paragraph" w:styleId="MWhang2">
    <w:name w:val="MWhang2"/>
    <w:basedOn w:val="Normal"/>
    <w:qFormat/>
    <w:pPr>
      <w:widowControl/>
      <w:suppressAutoHyphens w:val="true"/>
      <w:spacing w:before="0" w:after="240"/>
      <w:ind w:hanging="720" w:start="1440" w:end="0"/>
    </w:pPr>
    <w:rPr>
      <w:rFonts w:ascii="Times New Roman" w:hAnsi="Times New Roman" w:cs="Times New Roman"/>
      <w:sz w:val="24"/>
      <w:lang w:eastAsia="en-CA"/>
    </w:rPr>
  </w:style>
  <w:style w:type="paragraph" w:styleId="MWlri1d">
    <w:name w:val="MWlri1d"/>
    <w:basedOn w:val="Normal"/>
    <w:qFormat/>
    <w:pPr>
      <w:widowControl/>
      <w:suppressAutoHyphens w:val="true"/>
      <w:spacing w:lineRule="auto" w:line="480" w:before="0" w:after="0"/>
      <w:ind w:hanging="0" w:start="1440" w:end="1440"/>
    </w:pPr>
    <w:rPr>
      <w:rFonts w:ascii="Times New Roman" w:hAnsi="Times New Roman" w:cs="Times New Roman"/>
      <w:sz w:val="24"/>
      <w:lang w:eastAsia="en-CA"/>
    </w:rPr>
  </w:style>
  <w:style w:type="paragraph" w:styleId="MWtypist">
    <w:name w:val="MWtypist"/>
    <w:basedOn w:val="Normal"/>
    <w:qFormat/>
    <w:pPr>
      <w:widowControl/>
      <w:spacing w:before="0" w:after="0"/>
    </w:pPr>
    <w:rPr>
      <w:rFonts w:ascii="Times New Roman" w:hAnsi="Times New Roman" w:cs="Times New Roman"/>
      <w:sz w:val="24"/>
      <w:lang w:eastAsia="en-CA"/>
    </w:rPr>
  </w:style>
  <w:style w:type="paragraph" w:styleId="Title2">
    <w:name w:val="Title2"/>
    <w:basedOn w:val="Normal"/>
    <w:qFormat/>
    <w:pPr>
      <w:spacing w:before="0" w:after="0"/>
      <w:ind w:hanging="0" w:start="0" w:end="-25"/>
    </w:pPr>
    <w:rPr>
      <w:rFonts w:ascii="Times New Roman" w:hAnsi="Times New Roman" w:cs="Times New Roman"/>
      <w:b/>
      <w:lang w:eastAsia="en-CA"/>
    </w:rPr>
  </w:style>
  <w:style w:type="paragraph" w:styleId="Level4">
    <w:name w:val="Level 4"/>
    <w:basedOn w:val="Normal"/>
    <w:qFormat/>
    <w:pPr>
      <w:tabs>
        <w:tab w:val="clear" w:pos="720"/>
        <w:tab w:val="left" w:pos="2520" w:leader="none"/>
      </w:tabs>
      <w:spacing w:before="0" w:after="0"/>
      <w:ind w:firstLine="2160" w:start="0" w:end="0"/>
      <w:outlineLvl w:val="3"/>
    </w:pPr>
    <w:rPr>
      <w:rFonts w:ascii="CG Times" w:hAnsi="CG Times" w:cs="CG Times"/>
      <w:sz w:val="24"/>
    </w:rPr>
  </w:style>
  <w:style w:type="paragraph" w:styleId="Level1">
    <w:name w:val="Level 1"/>
    <w:basedOn w:val="Normal"/>
    <w:qFormat/>
    <w:pPr>
      <w:numPr>
        <w:ilvl w:val="0"/>
        <w:numId w:val="14"/>
      </w:numPr>
      <w:tabs>
        <w:tab w:val="clear" w:pos="720"/>
      </w:tabs>
      <w:spacing w:before="0" w:after="0"/>
      <w:ind w:hanging="720" w:start="720" w:end="0"/>
      <w:outlineLvl w:val="0"/>
    </w:pPr>
    <w:rPr>
      <w:rFonts w:ascii="CG Times" w:hAnsi="CG Times" w:cs="CG Times"/>
      <w:sz w:val="24"/>
    </w:rPr>
  </w:style>
  <w:style w:type="paragraph" w:styleId="Level5">
    <w:name w:val="Level 5"/>
    <w:basedOn w:val="Normal"/>
    <w:qFormat/>
    <w:pPr>
      <w:spacing w:before="0" w:after="0"/>
      <w:outlineLvl w:val="4"/>
    </w:pPr>
    <w:rPr>
      <w:rFonts w:ascii="CG Times" w:hAnsi="CG Times" w:cs="CG Times"/>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2000-05-10T15:06:00Z</dcterms:created>
  <dc:creator>Koch Ind</dc:creator>
  <dc:description/>
  <dc:language>en-CA</dc:language>
  <cp:lastModifiedBy>scorman</cp:lastModifiedBy>
  <cp:lastPrinted>2000-05-10T12:27:00Z</cp:lastPrinted>
  <dcterms:modified xsi:type="dcterms:W3CDTF">2000-05-10T15:06:00Z</dcterms:modified>
  <cp:revision>2</cp:revision>
  <dc:subject/>
  <dc:title>Business Practices Subcommittee</dc:title>
</cp:coreProperties>
</file>