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jc w:val="center"/>
        <w:rPr/>
      </w:pPr>
      <w:r>
        <w:rPr/>
        <w:t>Riders and inserts (using the section references in the EEI form of agreement)</w:t>
      </w:r>
    </w:p>
    <w:p>
      <w:pPr>
        <w:pStyle w:val="BodyText"/>
        <w:rPr/>
      </w:pPr>
      <w:r>
        <w:rPr/>
      </w:r>
    </w:p>
    <w:p>
      <w:pPr>
        <w:pStyle w:val="BodyText"/>
        <w:rPr>
          <w:b/>
        </w:rPr>
      </w:pPr>
      <w:r>
        <w:rPr/>
        <w:t>Add to Article One the following definitions:</w:t>
      </w:r>
    </w:p>
    <w:p>
      <w:pPr>
        <w:pStyle w:val="Normal"/>
        <w:rPr>
          <w:u w:val="single"/>
        </w:rPr>
      </w:pPr>
      <w:r>
        <w:rPr/>
        <w:t>"</w:t>
      </w:r>
      <w:r>
        <w:rPr>
          <w:i/>
        </w:rPr>
        <w:t>Contract Reinstatement Event</w:t>
      </w:r>
      <w:r>
        <w:rPr/>
        <w:t>" means (a) any renewal, novation or substantially similar reinstatement, in whole or in part, of EPMI's obligations under any or all of the contracts and trades for the sales and purchases of forward contracts and trades for electricity with the California Power Exchange Corporation that were commandeered by the State of California pursuant to Executive Order No. _____, dated January 31, 2001 (for purposes of this definition, the "Order") reflected, in the case of trades, as bilateral agreements on the confirmation attached hereto as Exhibit A, (b) any amendment, modification, nullification or suspension of, any other change in, or any injunction by a court or other governmental authority of competent jurisdiction suspending the effectiveness of, the Order that, if implemented would result, or would be reasonably likely to result, in the renewal, novation or similar reinstatement or any of such obligations of EPMI or (c) the commencement of any proceeding before any court or other governmental authority of competent jurisdiction challenging the effectiveness of the Order or that, if successful, would result, or would be reasonably likely to result, in the renewal, novation or similar reinstatement or any of such obligations of EPMI.</w:t>
      </w:r>
    </w:p>
    <w:p>
      <w:pPr>
        <w:pStyle w:val="Normal"/>
        <w:rPr/>
      </w:pPr>
      <w:r>
        <w:rPr>
          <w:rFonts w:cs="Baskerville Old Face;Times New Roman" w:ascii="Baskerville Old Face;Times New Roman" w:hAnsi="Baskerville Old Face;Times New Roman"/>
        </w:rPr>
        <w:t>"</w:t>
      </w:r>
      <w:r>
        <w:rPr>
          <w:rFonts w:cs="Baskerville Old Face;Times New Roman" w:ascii="Baskerville Old Face;Times New Roman" w:hAnsi="Baskerville Old Face;Times New Roman"/>
          <w:i/>
        </w:rPr>
        <w:t>Credit Event</w:t>
      </w:r>
      <w:r>
        <w:rPr>
          <w:rFonts w:cs="Baskerville Old Face;Times New Roman" w:ascii="Baskerville Old Face;Times New Roman" w:hAnsi="Baskerville Old Face;Times New Roman"/>
        </w:rPr>
        <w:t xml:space="preserve">" means that </w:t>
      </w:r>
      <w:r>
        <w:rPr/>
        <w:t xml:space="preserve">any bonds or other indebtedness issued by or on behalf of the Department pursuant to Sections 80130 </w:t>
      </w:r>
      <w:r>
        <w:rPr>
          <w:i/>
        </w:rPr>
        <w:t>et seq.</w:t>
      </w:r>
      <w:r>
        <w:rPr/>
        <w:t xml:space="preserve"> of AB X1 shall at any time during the Term have a Credit Rating below [BBB-] as determined by Standard &amp; Poor's or below [Baa3] as determined by Moody's.</w:t>
      </w:r>
    </w:p>
    <w:p>
      <w:pPr>
        <w:pStyle w:val="Normal"/>
        <w:rPr/>
      </w:pPr>
      <w:r>
        <w:rPr/>
        <w:t>"</w:t>
      </w:r>
      <w:r>
        <w:rPr>
          <w:i/>
        </w:rPr>
        <w:t>Material Regulatory Change</w:t>
      </w:r>
      <w:r>
        <w:rPr/>
        <w:t>" means either of the following:  (i) any amendment, modification, nullification, suspension or other change in or affecting applicable law (including any law, rule, regulation, ordinance, order, interpretation, judgment, decree, directive, policy or similar decision of any governmental authority) or any determination or action by the Department, the CPUC, a court of competent jurisdiction or any other governmental authority on or after the Effective Date (including without limitation any revenue requirement determination or other action taken pursuant to Sections 80110, 80114, 80120 or 80134 or any other section of AB X1) that would result, or would be reasonably likely to result, in (a)  a material reduction or shortfall in the revenues derived or to be derived by the Department that are available or will be available to satisfy the obligations of the Department to pay for power supplied or to be supplied to the Department by third party suppliers, including by EPMI under this Agreement, (b) EPMI becoming subject to regulation by any governmental authority to a greater extent than that existing as of the Effective Date as a result of its exercise of its rights or the performance of its obligations under this Agreement and such increased regulation is determined by EPMI, in its reasonable business judgment, to have a material adverse effect on it or its business operations, (c) EPMI being unable to realize the economic benefits of this Agreement or perform its obligations under this Agreement or (d) the performance by either the Department or EPMI of its obligations under this Agreement becoming illegal or unenforceable or (ii) </w:t>
      </w:r>
      <w:r>
        <w:rPr>
          <w:rFonts w:cs="Baskerville Old Face;Times New Roman" w:ascii="Baskerville Old Face;Times New Roman" w:hAnsi="Baskerville Old Face;Times New Roman"/>
        </w:rPr>
        <w:t>the failure of the Department or the CPUC to adopt or promulgate, or of any other state agencies or other official state organizations to provide the Department or the CPUC with reasonable assistance or other cooperation, in either case to the extent necessary to put into full force and effect and implement all of the regulations, rules and actions without which any of the events described in subclauses (a) through (d) of clause (i) of this definition would occur or would be reasonably likely to occur.</w:t>
      </w:r>
    </w:p>
    <w:p>
      <w:pPr>
        <w:pStyle w:val="BodyText"/>
        <w:rPr/>
      </w:pPr>
      <w:r>
        <w:rPr/>
        <w:t>Add Section 5.8</w:t>
      </w:r>
    </w:p>
    <w:p>
      <w:pPr>
        <w:pStyle w:val="Normal"/>
        <w:rPr/>
      </w:pPr>
      <w:r>
        <w:rPr/>
        <w:t xml:space="preserve">5.8  </w:t>
      </w:r>
      <w:r>
        <w:rPr>
          <w:u w:val="single"/>
        </w:rPr>
        <w:t>EPMI Termination Right upon a Material Regulatory Change or Contract Reinstatement Event</w:t>
      </w:r>
      <w:r>
        <w:rPr/>
        <w:t>.  Notwithstanding any other any other provision of this Agreement, in the event that a Material Regulatory Change, Contract Reinstatement Event or Credit Event shall have occurred and be continuing, EPMI shall have the right, but not the obligation, exercisable upon not less than 10 days prior written notice to the Department, to terminate this Agreement.  In the event of any such termination, the provisions of Sections 5.2 through 5.6 shall govern with respect to, among other things, the designation of an Early Termination Date, the calculation and payment of Settlement Amounts and a Termination Payment, if any, triggered by such termination, the furnishing of any related notices and conduct of any related disputes and the exercise of rights with respect to the setting-off and withholding of payments with respect to amounts due and owing hereunder, with the same effect, for purposes of the aforesaid provisions only, as if a Material Regulatory Change or Contract Reinstatement Event constituted an Event of Default on the part of the Department.  The Department expressly acknowledges that this provision is an essential part of the consideration to EPMI for entering into this Agreement and that without this provision EPMI would not have entered into this Agreement.</w:t>
      </w:r>
    </w:p>
    <w:p>
      <w:pPr>
        <w:pStyle w:val="Normal"/>
        <w:ind w:start="720" w:end="0"/>
        <w:rPr>
          <w:u w:val="single"/>
        </w:rPr>
      </w:pPr>
      <w:r>
        <w:rPr>
          <w:u w:val="single"/>
        </w:rPr>
      </w:r>
    </w:p>
    <w:p>
      <w:pPr>
        <w:pStyle w:val="BodyText"/>
        <w:rPr>
          <w:u w:val="none"/>
        </w:rPr>
      </w:pPr>
      <w:r>
        <w:rPr>
          <w:u w:val="none"/>
        </w:rPr>
        <w:t>Indemnity (add as a rider to Section 10.4)</w:t>
      </w:r>
    </w:p>
    <w:p>
      <w:pPr>
        <w:pStyle w:val="BodyText"/>
        <w:rPr>
          <w:u w:val="none"/>
        </w:rPr>
      </w:pPr>
      <w:r>
        <w:rPr>
          <w:u w:val="none"/>
        </w:rPr>
        <w:t>In addition, and without limiting its other obligations under this Section 10.4, the Department shall indemnify, defend and hold harmless EPMI from and against any Claims arising from or out of any Contractual Reinstatement Event or Material Regulatory Change.  The Department affirms that it has determined, for purposes of Section 80102 of AB X1, that the indemnity it is providing pursuant to this Section 10.4 is necessary and appropriate and that it is entering into Agreement pursuant to andin accordance with its authority under such Section 80102.</w:t>
      </w:r>
    </w:p>
    <w:p>
      <w:pPr>
        <w:pStyle w:val="BodyText"/>
        <w:rPr>
          <w:u w:val="none"/>
        </w:rPr>
      </w:pPr>
      <w:r>
        <w:rPr>
          <w:u w:val="none"/>
        </w:rPr>
      </w:r>
    </w:p>
    <w:p>
      <w:pPr>
        <w:pStyle w:val="BodyText"/>
        <w:rPr>
          <w:u w:val="none"/>
        </w:rPr>
      </w:pPr>
      <w:r>
        <w:rPr>
          <w:u w:val="none"/>
        </w:rPr>
        <w:t>Include the following separate provision in the Contract.</w:t>
      </w:r>
    </w:p>
    <w:p>
      <w:pPr>
        <w:pStyle w:val="Normal"/>
        <w:rPr/>
      </w:pPr>
      <w:r>
        <w:rPr/>
        <w:t xml:space="preserve">Section 80200 of AB X1 authorizes the Department to include the following pledge and undertaking of the State of California in the Department's obligations, including in respect of the purchase of power by the Department:  While any obligations of the Department incurred under AB X1 remain outstanding and not fully performed or discharged, the rights and powers, duties, and existence of the Department and the CPUC shall not be diminished or impaired in any manner that will affect adversely the interests and rights of the holders of or parties to such obligations. </w:t>
      </w:r>
    </w:p>
    <w:p>
      <w:pPr>
        <w:pStyle w:val="BodyText"/>
        <w:keepNext w:val="true"/>
        <w:spacing w:before="0" w:after="120"/>
        <w:ind w:hanging="0" w:start="0" w:end="0"/>
        <w:jc w:val="both"/>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askerville Old Face">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rPr>
        <w:sz w:val="14"/>
      </w:rPr>
    </w:pPr>
    <w:r>
      <w:rPr>
        <w:sz w:val="14"/>
      </w:rPr>
      <w:fldChar w:fldCharType="begin"/>
    </w:r>
    <w:r>
      <w:rPr>
        <w:sz w:val="14"/>
      </w:rPr>
      <w:instrText xml:space="preserve"> KEYWORDS </w:instrText>
    </w:r>
    <w:r>
      <w:rPr>
        <w:sz w:val="14"/>
      </w:rPr>
      <w:fldChar w:fldCharType="separate"/>
    </w:r>
    <w:r>
      <w:rPr>
        <w:sz w:val="14"/>
      </w:rPr>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120"/>
      <w:ind w:firstLine="720" w:start="0" w:end="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2z0">
    <w:name w:val="WW8Num2z0"/>
    <w:qFormat/>
    <w:rPr>
      <w:color w:val="000000"/>
    </w:rPr>
  </w:style>
  <w:style w:type="character" w:styleId="DefaultParagraphFont">
    <w:name w:val="Default Paragraph Font"/>
    <w:qFormat/>
    <w:rPr/>
  </w:style>
  <w:style w:type="character" w:styleId="Hidden">
    <w:name w:val="Hidden"/>
    <w:basedOn w:val="DefaultParagraphFont"/>
    <w:qFormat/>
    <w:rPr>
      <w:vanish/>
      <w:color w:val="FF000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ind w:hanging="0" w:start="0" w:end="0"/>
      <w:jc w:val="both"/>
    </w:pPr>
    <w:rPr>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2001-02-09T22:41:00Z</dcterms:created>
  <dc:creator>LeBoeuf, Lamb, Greene &amp; MacRae, L.L.P.</dc:creator>
  <dc:description/>
  <dc:language>en-CA</dc:language>
  <cp:lastModifiedBy>cyoder</cp:lastModifiedBy>
  <cp:lastPrinted>2001-02-09T17:10:00Z</cp:lastPrinted>
  <dcterms:modified xsi:type="dcterms:W3CDTF">2001-02-14T20:03:00Z</dcterms:modified>
  <cp:revision>4</cp:revision>
  <dc:subject/>
  <dc:title>Heading 1</dc:title>
</cp:coreProperties>
</file>